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901" w:rsidRDefault="00144A2B" w:rsidP="0093390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SVEUČILIŠTE U SPLITU, MEDICINSKI FAKULTET</w:t>
      </w:r>
    </w:p>
    <w:p w:rsidR="00933901" w:rsidRDefault="00933901" w:rsidP="0093390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Šoltanska 2, 21000 Split</w:t>
      </w:r>
    </w:p>
    <w:p w:rsidR="00933901" w:rsidRDefault="00933901" w:rsidP="0093390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OIB: 02879747067</w:t>
      </w:r>
    </w:p>
    <w:p w:rsidR="00933901" w:rsidRDefault="00933901" w:rsidP="0093390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RKP: 22451</w:t>
      </w:r>
    </w:p>
    <w:p w:rsidR="00933901" w:rsidRDefault="00BD6DFD" w:rsidP="00BD6DF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 Splitu, </w:t>
      </w:r>
      <w:r w:rsidR="00AE6400">
        <w:rPr>
          <w:rFonts w:ascii="Times New Roman" w:hAnsi="Times New Roman" w:cs="Times New Roman"/>
          <w:b/>
          <w:sz w:val="24"/>
          <w:szCs w:val="24"/>
        </w:rPr>
        <w:t>2</w:t>
      </w:r>
      <w:r w:rsidR="00CC0C1E">
        <w:rPr>
          <w:rFonts w:ascii="Times New Roman" w:hAnsi="Times New Roman" w:cs="Times New Roman"/>
          <w:b/>
          <w:sz w:val="24"/>
          <w:szCs w:val="24"/>
        </w:rPr>
        <w:t>1</w:t>
      </w:r>
      <w:r w:rsidR="00AE6400">
        <w:rPr>
          <w:rFonts w:ascii="Times New Roman" w:hAnsi="Times New Roman" w:cs="Times New Roman"/>
          <w:b/>
          <w:sz w:val="24"/>
          <w:szCs w:val="24"/>
        </w:rPr>
        <w:t>.07.2023.</w:t>
      </w:r>
    </w:p>
    <w:p w:rsidR="00933901" w:rsidRDefault="00933901" w:rsidP="00624C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2E2" w:rsidRDefault="00F471E7" w:rsidP="00624C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C16">
        <w:rPr>
          <w:rFonts w:ascii="Times New Roman" w:hAnsi="Times New Roman" w:cs="Times New Roman"/>
          <w:b/>
          <w:sz w:val="24"/>
          <w:szCs w:val="24"/>
        </w:rPr>
        <w:t xml:space="preserve">OBRAZLOŽENJE OPĆEG DIJELA </w:t>
      </w:r>
      <w:r w:rsidR="00AE6400">
        <w:rPr>
          <w:rFonts w:ascii="Times New Roman" w:hAnsi="Times New Roman" w:cs="Times New Roman"/>
          <w:b/>
          <w:sz w:val="24"/>
          <w:szCs w:val="24"/>
        </w:rPr>
        <w:t xml:space="preserve">IZVJEŠTAJA O IZVRŠENJU </w:t>
      </w:r>
      <w:r w:rsidRPr="00624C16">
        <w:rPr>
          <w:rFonts w:ascii="Times New Roman" w:hAnsi="Times New Roman" w:cs="Times New Roman"/>
          <w:b/>
          <w:sz w:val="24"/>
          <w:szCs w:val="24"/>
        </w:rPr>
        <w:t xml:space="preserve">FINANCIJSKOG PLANA </w:t>
      </w:r>
    </w:p>
    <w:p w:rsidR="00B7793B" w:rsidRPr="00624C16" w:rsidRDefault="00B7793B" w:rsidP="00624C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71E7" w:rsidRDefault="00F471E7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6B0">
        <w:rPr>
          <w:rFonts w:ascii="Times New Roman" w:hAnsi="Times New Roman" w:cs="Times New Roman"/>
          <w:b/>
          <w:sz w:val="24"/>
          <w:szCs w:val="24"/>
        </w:rPr>
        <w:t>PRIHODI I PRIMICI</w:t>
      </w:r>
    </w:p>
    <w:p w:rsidR="00FA1606" w:rsidRDefault="00FA1606" w:rsidP="00FA160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Obrazloženje </w:t>
      </w:r>
      <w:r w:rsidR="006F1F9B">
        <w:rPr>
          <w:rFonts w:ascii="Times New Roman" w:hAnsi="Times New Roman" w:cs="Times New Roman"/>
          <w:b/>
          <w:sz w:val="24"/>
          <w:szCs w:val="24"/>
        </w:rPr>
        <w:t xml:space="preserve">ostvarenja </w:t>
      </w:r>
      <w:r w:rsidR="00CB596E">
        <w:rPr>
          <w:rFonts w:ascii="Times New Roman" w:hAnsi="Times New Roman" w:cs="Times New Roman"/>
          <w:b/>
          <w:sz w:val="24"/>
          <w:szCs w:val="24"/>
        </w:rPr>
        <w:t>plana prihoda</w:t>
      </w:r>
      <w:r>
        <w:rPr>
          <w:rFonts w:ascii="Times New Roman" w:hAnsi="Times New Roman" w:cs="Times New Roman"/>
          <w:b/>
          <w:sz w:val="24"/>
          <w:szCs w:val="24"/>
        </w:rPr>
        <w:t xml:space="preserve"> u razdoblju 01-06/2023.</w:t>
      </w:r>
    </w:p>
    <w:p w:rsidR="006F1F9B" w:rsidRDefault="006F1F9B" w:rsidP="00FD5A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početku i na kraju  promatranog razdoblja stanje novčanih sredstava na računima Medicinskog fakulteta u Splitu bilo je kako slijedi:</w:t>
      </w:r>
    </w:p>
    <w:tbl>
      <w:tblPr>
        <w:tblW w:w="5430" w:type="dxa"/>
        <w:tblLook w:val="04A0" w:firstRow="1" w:lastRow="0" w:firstColumn="1" w:lastColumn="0" w:noHBand="0" w:noVBand="1"/>
      </w:tblPr>
      <w:tblGrid>
        <w:gridCol w:w="1380"/>
        <w:gridCol w:w="2025"/>
        <w:gridCol w:w="2025"/>
      </w:tblGrid>
      <w:tr w:rsidR="0003464E" w:rsidRPr="0003464E" w:rsidTr="0003464E">
        <w:trPr>
          <w:trHeight w:val="94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3464E" w:rsidRPr="0003464E" w:rsidRDefault="0003464E" w:rsidP="00034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34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Valuta</w:t>
            </w:r>
            <w:proofErr w:type="spellEnd"/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03464E" w:rsidRPr="0003464E" w:rsidRDefault="0003464E" w:rsidP="00034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34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Iznos</w:t>
            </w:r>
            <w:proofErr w:type="spellEnd"/>
            <w:r w:rsidRPr="00034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034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sredstava</w:t>
            </w:r>
            <w:proofErr w:type="spellEnd"/>
            <w:r w:rsidRPr="00034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034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na</w:t>
            </w:r>
            <w:proofErr w:type="spellEnd"/>
            <w:r w:rsidRPr="00034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dan 01.01.2023.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03464E" w:rsidRPr="0003464E" w:rsidRDefault="0003464E" w:rsidP="00034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34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Iznos</w:t>
            </w:r>
            <w:proofErr w:type="spellEnd"/>
            <w:r w:rsidRPr="00034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034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sredstava</w:t>
            </w:r>
            <w:proofErr w:type="spellEnd"/>
            <w:r w:rsidRPr="00034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034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na</w:t>
            </w:r>
            <w:proofErr w:type="spellEnd"/>
            <w:r w:rsidRPr="00034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dan 30.06.2023.</w:t>
            </w:r>
          </w:p>
        </w:tc>
      </w:tr>
      <w:tr w:rsidR="0003464E" w:rsidRPr="0003464E" w:rsidTr="0003464E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03464E" w:rsidRPr="0003464E" w:rsidRDefault="0003464E" w:rsidP="00034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34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EUR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03464E" w:rsidRPr="0003464E" w:rsidRDefault="0003464E" w:rsidP="0003464E">
            <w:pPr>
              <w:spacing w:after="0" w:line="240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34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2.925.751,94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03464E" w:rsidRPr="0003464E" w:rsidRDefault="0003464E" w:rsidP="0003464E">
            <w:pPr>
              <w:spacing w:after="0" w:line="240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34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1.834.984,52</w:t>
            </w:r>
          </w:p>
        </w:tc>
      </w:tr>
      <w:tr w:rsidR="0003464E" w:rsidRPr="0003464E" w:rsidTr="0003464E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03464E" w:rsidRPr="0003464E" w:rsidRDefault="0003464E" w:rsidP="00034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34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CAD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03464E" w:rsidRPr="0003464E" w:rsidRDefault="0003464E" w:rsidP="0003464E">
            <w:pPr>
              <w:spacing w:after="0" w:line="240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34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142.048,69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03464E" w:rsidRPr="0003464E" w:rsidRDefault="0003464E" w:rsidP="0003464E">
            <w:pPr>
              <w:spacing w:after="0" w:line="240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34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142.049,03</w:t>
            </w:r>
          </w:p>
        </w:tc>
      </w:tr>
      <w:tr w:rsidR="0003464E" w:rsidRPr="0003464E" w:rsidTr="0003464E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03464E" w:rsidRPr="0003464E" w:rsidRDefault="0003464E" w:rsidP="00034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34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NOK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03464E" w:rsidRPr="0003464E" w:rsidRDefault="0003464E" w:rsidP="0003464E">
            <w:pPr>
              <w:spacing w:after="0" w:line="240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34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3.416,81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03464E" w:rsidRPr="0003464E" w:rsidRDefault="0003464E" w:rsidP="0003464E">
            <w:pPr>
              <w:spacing w:after="0" w:line="240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34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3.416,82</w:t>
            </w:r>
          </w:p>
        </w:tc>
      </w:tr>
      <w:tr w:rsidR="0003464E" w:rsidRPr="0003464E" w:rsidTr="0003464E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03464E" w:rsidRPr="0003464E" w:rsidRDefault="0003464E" w:rsidP="00034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34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GBP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03464E" w:rsidRPr="0003464E" w:rsidRDefault="0003464E" w:rsidP="0003464E">
            <w:pPr>
              <w:spacing w:after="0" w:line="240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34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0,69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03464E" w:rsidRPr="0003464E" w:rsidRDefault="0003464E" w:rsidP="0003464E">
            <w:pPr>
              <w:spacing w:after="0" w:line="240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34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0,69</w:t>
            </w:r>
          </w:p>
        </w:tc>
      </w:tr>
      <w:tr w:rsidR="0003464E" w:rsidRPr="0003464E" w:rsidTr="0003464E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03464E" w:rsidRPr="0003464E" w:rsidRDefault="0003464E" w:rsidP="00034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34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USD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03464E" w:rsidRPr="0003464E" w:rsidRDefault="0003464E" w:rsidP="0003464E">
            <w:pPr>
              <w:spacing w:after="0" w:line="240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34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31,11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03464E" w:rsidRPr="0003464E" w:rsidRDefault="0003464E" w:rsidP="0003464E">
            <w:pPr>
              <w:spacing w:after="0" w:line="240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34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31,11</w:t>
            </w:r>
          </w:p>
        </w:tc>
      </w:tr>
    </w:tbl>
    <w:p w:rsidR="006F1F9B" w:rsidRDefault="006F1F9B" w:rsidP="00FD5A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7A52" w:rsidRPr="00CB596E" w:rsidRDefault="00D87A52" w:rsidP="00FD5AEE">
      <w:pPr>
        <w:jc w:val="both"/>
        <w:rPr>
          <w:rFonts w:ascii="Times New Roman" w:hAnsi="Times New Roman" w:cs="Times New Roman"/>
          <w:sz w:val="24"/>
          <w:szCs w:val="24"/>
        </w:rPr>
      </w:pPr>
      <w:r w:rsidRPr="00CB596E">
        <w:rPr>
          <w:rFonts w:ascii="Times New Roman" w:hAnsi="Times New Roman" w:cs="Times New Roman"/>
          <w:sz w:val="24"/>
          <w:szCs w:val="24"/>
        </w:rPr>
        <w:t xml:space="preserve">U prvih 6 mjeseci 2023. godine ostvaren je novčani tijek temeljem prihoda u visini </w:t>
      </w:r>
      <w:r w:rsidR="00740029" w:rsidRPr="00CB596E">
        <w:rPr>
          <w:rFonts w:ascii="Times New Roman" w:hAnsi="Times New Roman" w:cs="Times New Roman"/>
          <w:sz w:val="24"/>
          <w:szCs w:val="24"/>
        </w:rPr>
        <w:t>3.946.437,00</w:t>
      </w:r>
      <w:r w:rsidRPr="00CB596E">
        <w:rPr>
          <w:rFonts w:ascii="Times New Roman" w:hAnsi="Times New Roman" w:cs="Times New Roman"/>
          <w:sz w:val="24"/>
          <w:szCs w:val="24"/>
        </w:rPr>
        <w:t xml:space="preserve"> EUR, što čini</w:t>
      </w:r>
      <w:r w:rsidR="00740029" w:rsidRPr="00CB596E">
        <w:rPr>
          <w:rFonts w:ascii="Times New Roman" w:hAnsi="Times New Roman" w:cs="Times New Roman"/>
          <w:sz w:val="24"/>
          <w:szCs w:val="24"/>
        </w:rPr>
        <w:t xml:space="preserve"> </w:t>
      </w:r>
      <w:r w:rsidR="00395EE2" w:rsidRPr="00CB596E">
        <w:rPr>
          <w:rFonts w:ascii="Times New Roman" w:hAnsi="Times New Roman" w:cs="Times New Roman"/>
          <w:sz w:val="24"/>
          <w:szCs w:val="24"/>
        </w:rPr>
        <w:t>34</w:t>
      </w:r>
      <w:r w:rsidRPr="00CB596E">
        <w:rPr>
          <w:rFonts w:ascii="Times New Roman" w:hAnsi="Times New Roman" w:cs="Times New Roman"/>
          <w:sz w:val="24"/>
          <w:szCs w:val="24"/>
        </w:rPr>
        <w:t xml:space="preserve">% godišnjeg plana za 2023. godinu, te </w:t>
      </w:r>
      <w:r w:rsidR="00395EE2" w:rsidRPr="00CB596E">
        <w:rPr>
          <w:rFonts w:ascii="Times New Roman" w:hAnsi="Times New Roman" w:cs="Times New Roman"/>
          <w:sz w:val="24"/>
          <w:szCs w:val="24"/>
        </w:rPr>
        <w:t>94</w:t>
      </w:r>
      <w:r w:rsidRPr="00CB596E">
        <w:rPr>
          <w:rFonts w:ascii="Times New Roman" w:hAnsi="Times New Roman" w:cs="Times New Roman"/>
          <w:sz w:val="24"/>
          <w:szCs w:val="24"/>
        </w:rPr>
        <w:t>% izvršenja prihoda u istom razdoblju prethodne godine.</w:t>
      </w:r>
    </w:p>
    <w:p w:rsidR="00D87A52" w:rsidRPr="00CB596E" w:rsidRDefault="00D87A52" w:rsidP="00FD5AEE">
      <w:pPr>
        <w:jc w:val="both"/>
        <w:rPr>
          <w:rFonts w:ascii="Times New Roman" w:hAnsi="Times New Roman" w:cs="Times New Roman"/>
          <w:sz w:val="24"/>
          <w:szCs w:val="24"/>
        </w:rPr>
      </w:pPr>
      <w:r w:rsidRPr="00CB596E">
        <w:rPr>
          <w:rFonts w:ascii="Times New Roman" w:hAnsi="Times New Roman" w:cs="Times New Roman"/>
          <w:sz w:val="24"/>
          <w:szCs w:val="24"/>
        </w:rPr>
        <w:t xml:space="preserve">Realizacija plana prihoda u prvih 6 mjeseci ove godine je </w:t>
      </w:r>
      <w:r w:rsidR="002F01FA" w:rsidRPr="00CB596E">
        <w:rPr>
          <w:rFonts w:ascii="Times New Roman" w:hAnsi="Times New Roman" w:cs="Times New Roman"/>
          <w:sz w:val="24"/>
          <w:szCs w:val="24"/>
        </w:rPr>
        <w:t xml:space="preserve">u najvećem dijelu </w:t>
      </w:r>
      <w:r w:rsidRPr="00CB596E">
        <w:rPr>
          <w:rFonts w:ascii="Times New Roman" w:hAnsi="Times New Roman" w:cs="Times New Roman"/>
          <w:sz w:val="24"/>
          <w:szCs w:val="24"/>
        </w:rPr>
        <w:t>definirana dinamikom naplate prihoda i to prije svega naplate školarina na studiju Medicina na engleskom jeziku, te dinamikom naplate ZNS-ova po postojećim projektima.</w:t>
      </w:r>
    </w:p>
    <w:p w:rsidR="002F01FA" w:rsidRPr="00CB596E" w:rsidRDefault="002F01FA" w:rsidP="00FD5AEE">
      <w:pPr>
        <w:jc w:val="both"/>
        <w:rPr>
          <w:rFonts w:ascii="Times New Roman" w:hAnsi="Times New Roman" w:cs="Times New Roman"/>
          <w:sz w:val="24"/>
          <w:szCs w:val="24"/>
        </w:rPr>
      </w:pPr>
      <w:r w:rsidRPr="00CB596E">
        <w:rPr>
          <w:rFonts w:ascii="Times New Roman" w:hAnsi="Times New Roman" w:cs="Times New Roman"/>
          <w:sz w:val="24"/>
          <w:szCs w:val="24"/>
        </w:rPr>
        <w:t>Prihodi iz izvora 11 su stabilni te je ostvareno 46% od plana, te 97% od prošlogodišnjeg izvršenja.</w:t>
      </w:r>
    </w:p>
    <w:p w:rsidR="002F01FA" w:rsidRPr="00CB596E" w:rsidRDefault="002F01FA" w:rsidP="002F01FA">
      <w:pPr>
        <w:jc w:val="both"/>
        <w:rPr>
          <w:rFonts w:ascii="Times New Roman" w:hAnsi="Times New Roman" w:cs="Times New Roman"/>
          <w:sz w:val="24"/>
          <w:szCs w:val="24"/>
        </w:rPr>
      </w:pPr>
      <w:r w:rsidRPr="00CB596E">
        <w:rPr>
          <w:rFonts w:ascii="Times New Roman" w:hAnsi="Times New Roman" w:cs="Times New Roman"/>
          <w:sz w:val="24"/>
          <w:szCs w:val="24"/>
        </w:rPr>
        <w:t>Prihodi iz izvora 43</w:t>
      </w:r>
      <w:r w:rsidR="005610C1" w:rsidRPr="00CB596E">
        <w:rPr>
          <w:rFonts w:ascii="Times New Roman" w:hAnsi="Times New Roman" w:cs="Times New Roman"/>
          <w:sz w:val="24"/>
          <w:szCs w:val="24"/>
        </w:rPr>
        <w:t xml:space="preserve"> (školarine)</w:t>
      </w:r>
      <w:r w:rsidRPr="00CB596E">
        <w:rPr>
          <w:rFonts w:ascii="Times New Roman" w:hAnsi="Times New Roman" w:cs="Times New Roman"/>
          <w:sz w:val="24"/>
          <w:szCs w:val="24"/>
        </w:rPr>
        <w:t xml:space="preserve"> su realiziran</w:t>
      </w:r>
      <w:r w:rsidR="00A925E1">
        <w:rPr>
          <w:rFonts w:ascii="Times New Roman" w:hAnsi="Times New Roman" w:cs="Times New Roman"/>
          <w:sz w:val="24"/>
          <w:szCs w:val="24"/>
        </w:rPr>
        <w:t>i</w:t>
      </w:r>
      <w:r w:rsidRPr="00CB596E">
        <w:rPr>
          <w:rFonts w:ascii="Times New Roman" w:hAnsi="Times New Roman" w:cs="Times New Roman"/>
          <w:sz w:val="24"/>
          <w:szCs w:val="24"/>
        </w:rPr>
        <w:t xml:space="preserve"> u visini 13% od planiranog</w:t>
      </w:r>
      <w:r w:rsidR="005610C1" w:rsidRPr="00CB596E">
        <w:rPr>
          <w:rFonts w:ascii="Times New Roman" w:hAnsi="Times New Roman" w:cs="Times New Roman"/>
          <w:sz w:val="24"/>
          <w:szCs w:val="24"/>
        </w:rPr>
        <w:t>, te 173% od prošlogodišnjeg izvršenja</w:t>
      </w:r>
      <w:r w:rsidRPr="00CB596E">
        <w:rPr>
          <w:rFonts w:ascii="Times New Roman" w:hAnsi="Times New Roman" w:cs="Times New Roman"/>
          <w:sz w:val="24"/>
          <w:szCs w:val="24"/>
        </w:rPr>
        <w:t>.</w:t>
      </w:r>
      <w:r w:rsidR="00005FAA" w:rsidRPr="00CB596E">
        <w:rPr>
          <w:rFonts w:ascii="Times New Roman" w:hAnsi="Times New Roman" w:cs="Times New Roman"/>
          <w:sz w:val="24"/>
          <w:szCs w:val="24"/>
        </w:rPr>
        <w:t xml:space="preserve"> Ovi prihodi su u najvećem dijelu definirani dinamikom naplate prihoda i to prije svega naplate školarina na studiju Medicina na engleskom jeziku. Uglavnom </w:t>
      </w:r>
      <w:r w:rsidRPr="00CB596E">
        <w:rPr>
          <w:rFonts w:ascii="Times New Roman" w:hAnsi="Times New Roman" w:cs="Times New Roman"/>
          <w:sz w:val="24"/>
          <w:szCs w:val="24"/>
        </w:rPr>
        <w:t xml:space="preserve"> u prvom dijelu godine stiže manji dio školarina, dok najznačajniji dio školarina stiže počevši od 01. srpnja tekuće godine do kraja godine, što utječe na dinamiku realizacije postojećih planova.</w:t>
      </w:r>
    </w:p>
    <w:p w:rsidR="002F01FA" w:rsidRPr="00CB596E" w:rsidRDefault="002F01FA" w:rsidP="00FD5AEE">
      <w:pPr>
        <w:jc w:val="both"/>
        <w:rPr>
          <w:rFonts w:ascii="Times New Roman" w:hAnsi="Times New Roman" w:cs="Times New Roman"/>
          <w:sz w:val="24"/>
          <w:szCs w:val="24"/>
        </w:rPr>
      </w:pPr>
      <w:r w:rsidRPr="00CB596E">
        <w:rPr>
          <w:rFonts w:ascii="Times New Roman" w:hAnsi="Times New Roman" w:cs="Times New Roman"/>
          <w:sz w:val="24"/>
          <w:szCs w:val="24"/>
        </w:rPr>
        <w:lastRenderedPageBreak/>
        <w:t>Prihodi iz izvora 31 su ostvareni u visini 11% planiranih, te 17% prošlogodišnjih. Naime, prethodne godine realizirani su značajni prihodi iz projekata za tržište temeljem predujmova u prvom dijelu godine; ostali priljevi stižu po fazama realizacije.</w:t>
      </w:r>
    </w:p>
    <w:p w:rsidR="002F01FA" w:rsidRPr="00CB596E" w:rsidRDefault="002F01FA" w:rsidP="002F01FA">
      <w:pPr>
        <w:jc w:val="both"/>
        <w:rPr>
          <w:rFonts w:ascii="Times New Roman" w:hAnsi="Times New Roman" w:cs="Times New Roman"/>
          <w:sz w:val="24"/>
          <w:szCs w:val="24"/>
        </w:rPr>
      </w:pPr>
      <w:r w:rsidRPr="00CB596E">
        <w:rPr>
          <w:rFonts w:ascii="Times New Roman" w:hAnsi="Times New Roman" w:cs="Times New Roman"/>
          <w:sz w:val="24"/>
          <w:szCs w:val="24"/>
        </w:rPr>
        <w:t>Prihodi iz izvora 561 i 12 (EU projekti iz ESF-a) su ostvareni u visini 30% od planiranih te  13% od izvršenih prethodne godine, dok su prihodi iz izvora 51 (</w:t>
      </w:r>
      <w:r w:rsidR="005610C1" w:rsidRPr="00CB596E">
        <w:rPr>
          <w:rFonts w:ascii="Times New Roman" w:hAnsi="Times New Roman" w:cs="Times New Roman"/>
          <w:sz w:val="24"/>
          <w:szCs w:val="24"/>
        </w:rPr>
        <w:t>O</w:t>
      </w:r>
      <w:r w:rsidRPr="00CB596E">
        <w:rPr>
          <w:rFonts w:ascii="Times New Roman" w:hAnsi="Times New Roman" w:cs="Times New Roman"/>
          <w:sz w:val="24"/>
          <w:szCs w:val="24"/>
        </w:rPr>
        <w:t>bzor projekti) ostvareni u visini 19% od planiranih, te 162% od prošlogodišnjih. Naime, dinamika ostvarivanja novčanog tijeka u velikoj mjeri ovisi o fazi realizacije postojećih projekata, kao i o tome ostvaruje li se na pojedinom projektu predujam ili ne.</w:t>
      </w:r>
    </w:p>
    <w:p w:rsidR="002F01FA" w:rsidRPr="00CB596E" w:rsidRDefault="002F01FA" w:rsidP="00FD5AEE">
      <w:pPr>
        <w:jc w:val="both"/>
        <w:rPr>
          <w:rFonts w:ascii="Times New Roman" w:hAnsi="Times New Roman" w:cs="Times New Roman"/>
          <w:sz w:val="24"/>
          <w:szCs w:val="24"/>
        </w:rPr>
      </w:pPr>
      <w:r w:rsidRPr="00CB596E">
        <w:rPr>
          <w:rFonts w:ascii="Times New Roman" w:hAnsi="Times New Roman" w:cs="Times New Roman"/>
          <w:sz w:val="24"/>
          <w:szCs w:val="24"/>
        </w:rPr>
        <w:t>Prihodi iz izvora 52 (Ostale pomoći i darovnice) su u odnosu na plan realizirane u visini 49%, a u odnosu na prošlogodi</w:t>
      </w:r>
      <w:r w:rsidR="005610C1" w:rsidRPr="00CB596E">
        <w:rPr>
          <w:rFonts w:ascii="Times New Roman" w:hAnsi="Times New Roman" w:cs="Times New Roman"/>
          <w:sz w:val="24"/>
          <w:szCs w:val="24"/>
        </w:rPr>
        <w:t>š</w:t>
      </w:r>
      <w:r w:rsidRPr="00CB596E">
        <w:rPr>
          <w:rFonts w:ascii="Times New Roman" w:hAnsi="Times New Roman" w:cs="Times New Roman"/>
          <w:sz w:val="24"/>
          <w:szCs w:val="24"/>
        </w:rPr>
        <w:t>nje ostv</w:t>
      </w:r>
      <w:r w:rsidR="005610C1" w:rsidRPr="00CB596E">
        <w:rPr>
          <w:rFonts w:ascii="Times New Roman" w:hAnsi="Times New Roman" w:cs="Times New Roman"/>
          <w:sz w:val="24"/>
          <w:szCs w:val="24"/>
        </w:rPr>
        <w:t>a</w:t>
      </w:r>
      <w:r w:rsidRPr="00CB596E">
        <w:rPr>
          <w:rFonts w:ascii="Times New Roman" w:hAnsi="Times New Roman" w:cs="Times New Roman"/>
          <w:sz w:val="24"/>
          <w:szCs w:val="24"/>
        </w:rPr>
        <w:t>renje u visini 130%.</w:t>
      </w:r>
      <w:r w:rsidR="005610C1" w:rsidRPr="00CB596E">
        <w:rPr>
          <w:rFonts w:ascii="Times New Roman" w:hAnsi="Times New Roman" w:cs="Times New Roman"/>
          <w:sz w:val="24"/>
          <w:szCs w:val="24"/>
        </w:rPr>
        <w:t xml:space="preserve"> Ovi prihodi se uglavnom temelje na prijenosu EU sredstava.</w:t>
      </w:r>
    </w:p>
    <w:p w:rsidR="002F01FA" w:rsidRPr="005610C1" w:rsidRDefault="005610C1" w:rsidP="00FD5AEE">
      <w:pPr>
        <w:jc w:val="both"/>
        <w:rPr>
          <w:rFonts w:ascii="Times New Roman" w:hAnsi="Times New Roman" w:cs="Times New Roman"/>
          <w:sz w:val="24"/>
          <w:szCs w:val="24"/>
        </w:rPr>
      </w:pPr>
      <w:r w:rsidRPr="00CB596E">
        <w:rPr>
          <w:rFonts w:ascii="Times New Roman" w:hAnsi="Times New Roman" w:cs="Times New Roman"/>
          <w:sz w:val="24"/>
          <w:szCs w:val="24"/>
        </w:rPr>
        <w:t>Prihodi iz izvora 61 (donacije) ostvarene su u visini 30% od planiranog, te 198% od prošlogodišnje izvršenja. Donacije se u određenom dijelu odnose na prihode temeljem projekata, a u određenoj mjeri na ostale donacije.</w:t>
      </w:r>
    </w:p>
    <w:p w:rsidR="00D87A52" w:rsidRDefault="00D87A52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1606" w:rsidRPr="005B26B0" w:rsidRDefault="00FA1606" w:rsidP="00FA160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Obrazloženje planiranih prihoda u razdoblju 01-12/2023</w:t>
      </w:r>
    </w:p>
    <w:p w:rsidR="00FA1606" w:rsidRDefault="00FA1606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5BA8" w:rsidRPr="005B26B0" w:rsidRDefault="00955BA8" w:rsidP="00955BA8">
      <w:pPr>
        <w:spacing w:after="0"/>
        <w:ind w:left="38" w:right="14"/>
        <w:jc w:val="both"/>
        <w:rPr>
          <w:rFonts w:ascii="Times New Roman" w:hAnsi="Times New Roman" w:cs="Times New Roman"/>
          <w:sz w:val="24"/>
          <w:szCs w:val="24"/>
        </w:rPr>
      </w:pPr>
      <w:r w:rsidRPr="005B26B0">
        <w:rPr>
          <w:rFonts w:ascii="Times New Roman" w:hAnsi="Times New Roman" w:cs="Times New Roman"/>
          <w:sz w:val="24"/>
          <w:szCs w:val="24"/>
        </w:rPr>
        <w:t>Ukupni prihodi se u razdoblju 2023-2025. godini planiraju ostvariti u slijedećim iznosima</w:t>
      </w:r>
    </w:p>
    <w:p w:rsidR="00955BA8" w:rsidRPr="005B26B0" w:rsidRDefault="00955BA8" w:rsidP="00955BA8">
      <w:pPr>
        <w:spacing w:after="0"/>
        <w:ind w:left="38" w:right="14"/>
        <w:jc w:val="both"/>
        <w:rPr>
          <w:rFonts w:ascii="Times New Roman" w:hAnsi="Times New Roman" w:cs="Times New Roman"/>
          <w:sz w:val="24"/>
          <w:szCs w:val="24"/>
        </w:rPr>
      </w:pPr>
      <w:r w:rsidRPr="005B26B0">
        <w:rPr>
          <w:rFonts w:ascii="Times New Roman" w:hAnsi="Times New Roman" w:cs="Times New Roman"/>
          <w:sz w:val="24"/>
          <w:szCs w:val="24"/>
        </w:rPr>
        <w:t xml:space="preserve"> ( EUR):</w:t>
      </w:r>
    </w:p>
    <w:p w:rsidR="00955BA8" w:rsidRPr="005B26B0" w:rsidRDefault="00955BA8" w:rsidP="00955B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80" w:type="dxa"/>
        <w:tblLook w:val="04A0" w:firstRow="1" w:lastRow="0" w:firstColumn="1" w:lastColumn="0" w:noHBand="0" w:noVBand="1"/>
      </w:tblPr>
      <w:tblGrid>
        <w:gridCol w:w="1720"/>
        <w:gridCol w:w="1660"/>
        <w:gridCol w:w="1600"/>
      </w:tblGrid>
      <w:tr w:rsidR="00955BA8" w:rsidRPr="005B26B0" w:rsidTr="00F7685D">
        <w:trPr>
          <w:trHeight w:val="300"/>
        </w:trPr>
        <w:tc>
          <w:tcPr>
            <w:tcW w:w="17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955BA8" w:rsidRPr="005B26B0" w:rsidRDefault="00AD1A68" w:rsidP="00F768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5B26B0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11.449.785</w:t>
            </w:r>
          </w:p>
        </w:tc>
        <w:tc>
          <w:tcPr>
            <w:tcW w:w="1660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955BA8" w:rsidRPr="005B26B0" w:rsidRDefault="00AD1A68" w:rsidP="00F768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5B26B0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10.141.980</w:t>
            </w:r>
          </w:p>
        </w:tc>
        <w:tc>
          <w:tcPr>
            <w:tcW w:w="1600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955BA8" w:rsidRPr="005B26B0" w:rsidRDefault="00AD1A68" w:rsidP="00F768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5B26B0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10.035.285</w:t>
            </w:r>
          </w:p>
        </w:tc>
      </w:tr>
    </w:tbl>
    <w:p w:rsidR="00C26489" w:rsidRPr="005B26B0" w:rsidRDefault="00C26489" w:rsidP="00C12D8A">
      <w:pPr>
        <w:spacing w:after="0"/>
        <w:ind w:right="14"/>
        <w:rPr>
          <w:rFonts w:ascii="Times New Roman" w:hAnsi="Times New Roman" w:cs="Times New Roman"/>
          <w:sz w:val="24"/>
          <w:szCs w:val="24"/>
        </w:rPr>
      </w:pPr>
    </w:p>
    <w:p w:rsidR="00C12D8A" w:rsidRPr="005B26B0" w:rsidRDefault="00C12D8A" w:rsidP="00C12D8A">
      <w:pPr>
        <w:spacing w:after="0"/>
        <w:ind w:right="14"/>
        <w:rPr>
          <w:rFonts w:ascii="Times New Roman" w:hAnsi="Times New Roman" w:cs="Times New Roman"/>
          <w:sz w:val="24"/>
          <w:szCs w:val="24"/>
        </w:rPr>
      </w:pPr>
      <w:r w:rsidRPr="005B26B0">
        <w:rPr>
          <w:rFonts w:ascii="Times New Roman" w:hAnsi="Times New Roman" w:cs="Times New Roman"/>
          <w:sz w:val="24"/>
          <w:szCs w:val="24"/>
        </w:rPr>
        <w:t>U 2023. godini se planira rast prihoda za +</w:t>
      </w:r>
      <w:r w:rsidR="00D350E8" w:rsidRPr="005B26B0">
        <w:rPr>
          <w:rFonts w:ascii="Times New Roman" w:hAnsi="Times New Roman" w:cs="Times New Roman"/>
          <w:sz w:val="24"/>
          <w:szCs w:val="24"/>
        </w:rPr>
        <w:t>11</w:t>
      </w:r>
      <w:r w:rsidRPr="005B26B0">
        <w:rPr>
          <w:rFonts w:ascii="Times New Roman" w:hAnsi="Times New Roman" w:cs="Times New Roman"/>
          <w:sz w:val="24"/>
          <w:szCs w:val="24"/>
        </w:rPr>
        <w:t>% u odnosu na realizaciju prihoda u 2021. godini</w:t>
      </w:r>
      <w:r w:rsidR="00C26489" w:rsidRPr="005B26B0">
        <w:rPr>
          <w:rFonts w:ascii="Times New Roman" w:hAnsi="Times New Roman" w:cs="Times New Roman"/>
          <w:sz w:val="24"/>
          <w:szCs w:val="24"/>
        </w:rPr>
        <w:t xml:space="preserve">, te </w:t>
      </w:r>
      <w:r w:rsidR="00662506" w:rsidRPr="005B26B0">
        <w:rPr>
          <w:rFonts w:ascii="Times New Roman" w:hAnsi="Times New Roman" w:cs="Times New Roman"/>
          <w:sz w:val="24"/>
          <w:szCs w:val="24"/>
        </w:rPr>
        <w:t>rast</w:t>
      </w:r>
      <w:r w:rsidR="00C26489" w:rsidRPr="005B26B0">
        <w:rPr>
          <w:rFonts w:ascii="Times New Roman" w:hAnsi="Times New Roman" w:cs="Times New Roman"/>
          <w:sz w:val="24"/>
          <w:szCs w:val="24"/>
        </w:rPr>
        <w:t xml:space="preserve"> za +</w:t>
      </w:r>
      <w:r w:rsidR="00601981" w:rsidRPr="005B26B0">
        <w:rPr>
          <w:rFonts w:ascii="Times New Roman" w:hAnsi="Times New Roman" w:cs="Times New Roman"/>
          <w:sz w:val="24"/>
          <w:szCs w:val="24"/>
        </w:rPr>
        <w:t>15</w:t>
      </w:r>
      <w:r w:rsidR="00C26489" w:rsidRPr="005B26B0">
        <w:rPr>
          <w:rFonts w:ascii="Times New Roman" w:hAnsi="Times New Roman" w:cs="Times New Roman"/>
          <w:sz w:val="24"/>
          <w:szCs w:val="24"/>
        </w:rPr>
        <w:t>% u odnosu na plan za 2022. godinu.</w:t>
      </w:r>
    </w:p>
    <w:p w:rsidR="00955BA8" w:rsidRPr="005B26B0" w:rsidRDefault="00955BA8" w:rsidP="00C26489">
      <w:pPr>
        <w:spacing w:after="0"/>
        <w:ind w:right="14"/>
        <w:rPr>
          <w:rFonts w:ascii="Times New Roman" w:hAnsi="Times New Roman" w:cs="Times New Roman"/>
          <w:sz w:val="24"/>
          <w:szCs w:val="24"/>
        </w:rPr>
      </w:pPr>
      <w:r w:rsidRPr="005B26B0">
        <w:rPr>
          <w:rFonts w:ascii="Times New Roman" w:hAnsi="Times New Roman" w:cs="Times New Roman"/>
          <w:sz w:val="24"/>
          <w:szCs w:val="24"/>
        </w:rPr>
        <w:t>U razdoblju</w:t>
      </w:r>
      <w:r w:rsidR="00C26489" w:rsidRPr="005B26B0">
        <w:rPr>
          <w:rFonts w:ascii="Times New Roman" w:hAnsi="Times New Roman" w:cs="Times New Roman"/>
          <w:sz w:val="24"/>
          <w:szCs w:val="24"/>
        </w:rPr>
        <w:t xml:space="preserve"> 2023-2025. godini</w:t>
      </w:r>
      <w:r w:rsidRPr="005B26B0">
        <w:rPr>
          <w:rFonts w:ascii="Times New Roman" w:hAnsi="Times New Roman" w:cs="Times New Roman"/>
          <w:sz w:val="24"/>
          <w:szCs w:val="24"/>
        </w:rPr>
        <w:t xml:space="preserve"> primici nisu p</w:t>
      </w:r>
      <w:r w:rsidR="00C12D8A" w:rsidRPr="005B26B0">
        <w:rPr>
          <w:rFonts w:ascii="Times New Roman" w:hAnsi="Times New Roman" w:cs="Times New Roman"/>
          <w:sz w:val="24"/>
          <w:szCs w:val="24"/>
        </w:rPr>
        <w:t>l</w:t>
      </w:r>
      <w:r w:rsidRPr="005B26B0">
        <w:rPr>
          <w:rFonts w:ascii="Times New Roman" w:hAnsi="Times New Roman" w:cs="Times New Roman"/>
          <w:sz w:val="24"/>
          <w:szCs w:val="24"/>
        </w:rPr>
        <w:t>anirani.</w:t>
      </w:r>
    </w:p>
    <w:p w:rsidR="00662506" w:rsidRPr="005B26B0" w:rsidRDefault="00662506" w:rsidP="000465B7">
      <w:pPr>
        <w:spacing w:after="0"/>
        <w:ind w:left="38" w:right="14"/>
        <w:rPr>
          <w:rFonts w:ascii="Times New Roman" w:hAnsi="Times New Roman" w:cs="Times New Roman"/>
          <w:sz w:val="24"/>
          <w:szCs w:val="24"/>
        </w:rPr>
      </w:pPr>
    </w:p>
    <w:p w:rsidR="00B633FC" w:rsidRPr="005B26B0" w:rsidRDefault="00B633FC" w:rsidP="000465B7">
      <w:pPr>
        <w:spacing w:after="0"/>
        <w:ind w:left="38" w:right="14"/>
        <w:rPr>
          <w:rFonts w:ascii="Times New Roman" w:hAnsi="Times New Roman" w:cs="Times New Roman"/>
          <w:sz w:val="24"/>
          <w:szCs w:val="24"/>
        </w:rPr>
      </w:pPr>
      <w:r w:rsidRPr="005B26B0">
        <w:rPr>
          <w:rFonts w:ascii="Times New Roman" w:hAnsi="Times New Roman" w:cs="Times New Roman"/>
          <w:sz w:val="24"/>
          <w:szCs w:val="24"/>
        </w:rPr>
        <w:t>Osnovni izvori financiranja u razdoblju 202</w:t>
      </w:r>
      <w:r w:rsidR="003A476B" w:rsidRPr="005B26B0">
        <w:rPr>
          <w:rFonts w:ascii="Times New Roman" w:hAnsi="Times New Roman" w:cs="Times New Roman"/>
          <w:sz w:val="24"/>
          <w:szCs w:val="24"/>
        </w:rPr>
        <w:t>3</w:t>
      </w:r>
      <w:r w:rsidRPr="005B26B0">
        <w:rPr>
          <w:rFonts w:ascii="Times New Roman" w:hAnsi="Times New Roman" w:cs="Times New Roman"/>
          <w:sz w:val="24"/>
          <w:szCs w:val="24"/>
        </w:rPr>
        <w:t>-202</w:t>
      </w:r>
      <w:r w:rsidR="003A476B" w:rsidRPr="005B26B0">
        <w:rPr>
          <w:rFonts w:ascii="Times New Roman" w:hAnsi="Times New Roman" w:cs="Times New Roman"/>
          <w:sz w:val="24"/>
          <w:szCs w:val="24"/>
        </w:rPr>
        <w:t>5</w:t>
      </w:r>
      <w:r w:rsidRPr="005B26B0">
        <w:rPr>
          <w:rFonts w:ascii="Times New Roman" w:hAnsi="Times New Roman" w:cs="Times New Roman"/>
          <w:sz w:val="24"/>
          <w:szCs w:val="24"/>
        </w:rPr>
        <w:t>. su:</w:t>
      </w:r>
    </w:p>
    <w:p w:rsidR="00B633FC" w:rsidRPr="005B26B0" w:rsidRDefault="00B633FC" w:rsidP="003A476B">
      <w:pPr>
        <w:spacing w:after="0"/>
        <w:ind w:left="446" w:right="14"/>
        <w:rPr>
          <w:rFonts w:ascii="Times New Roman" w:hAnsi="Times New Roman" w:cs="Times New Roman"/>
          <w:sz w:val="24"/>
          <w:szCs w:val="24"/>
        </w:rPr>
      </w:pPr>
      <w:r w:rsidRPr="005B26B0">
        <w:rPr>
          <w:rFonts w:ascii="Times New Roman" w:hAnsi="Times New Roman" w:cs="Times New Roman"/>
          <w:sz w:val="24"/>
          <w:szCs w:val="24"/>
        </w:rPr>
        <w:t>l.   Opći prihodi i primici</w:t>
      </w:r>
    </w:p>
    <w:p w:rsidR="009F002F" w:rsidRPr="005B26B0" w:rsidRDefault="009F002F" w:rsidP="003A476B">
      <w:pPr>
        <w:spacing w:after="0"/>
        <w:ind w:left="446" w:right="14"/>
        <w:rPr>
          <w:rFonts w:ascii="Times New Roman" w:hAnsi="Times New Roman" w:cs="Times New Roman"/>
          <w:sz w:val="24"/>
          <w:szCs w:val="24"/>
        </w:rPr>
      </w:pPr>
      <w:r w:rsidRPr="005B26B0">
        <w:rPr>
          <w:rFonts w:ascii="Times New Roman" w:hAnsi="Times New Roman" w:cs="Times New Roman"/>
          <w:sz w:val="24"/>
          <w:szCs w:val="24"/>
        </w:rPr>
        <w:t>2.   Sredstva učešća za pomoći (učešće državnog proračuna u EU projektima)</w:t>
      </w:r>
    </w:p>
    <w:p w:rsidR="00B633FC" w:rsidRPr="005B26B0" w:rsidRDefault="00B633FC" w:rsidP="009F002F">
      <w:pPr>
        <w:pStyle w:val="ListParagraph"/>
        <w:numPr>
          <w:ilvl w:val="0"/>
          <w:numId w:val="4"/>
        </w:numPr>
        <w:spacing w:line="248" w:lineRule="auto"/>
        <w:ind w:right="14"/>
        <w:jc w:val="both"/>
        <w:rPr>
          <w:rFonts w:cs="Times New Roman"/>
          <w:szCs w:val="24"/>
        </w:rPr>
      </w:pPr>
      <w:r w:rsidRPr="005B26B0">
        <w:rPr>
          <w:rFonts w:cs="Times New Roman"/>
          <w:szCs w:val="24"/>
        </w:rPr>
        <w:t>Vlastiti prihodi</w:t>
      </w:r>
    </w:p>
    <w:p w:rsidR="00B633FC" w:rsidRPr="005B26B0" w:rsidRDefault="00B633FC" w:rsidP="009F002F">
      <w:pPr>
        <w:pStyle w:val="ListParagraph"/>
        <w:numPr>
          <w:ilvl w:val="0"/>
          <w:numId w:val="4"/>
        </w:numPr>
        <w:spacing w:line="248" w:lineRule="auto"/>
        <w:ind w:right="14"/>
        <w:jc w:val="both"/>
        <w:rPr>
          <w:rFonts w:cs="Times New Roman"/>
          <w:szCs w:val="24"/>
        </w:rPr>
      </w:pPr>
      <w:r w:rsidRPr="005B26B0">
        <w:rPr>
          <w:rFonts w:cs="Times New Roman"/>
          <w:szCs w:val="24"/>
        </w:rPr>
        <w:t>Prihodi za posebne namjene</w:t>
      </w:r>
    </w:p>
    <w:p w:rsidR="00B633FC" w:rsidRPr="005B26B0" w:rsidRDefault="00B633FC" w:rsidP="009F002F">
      <w:pPr>
        <w:pStyle w:val="ListParagraph"/>
        <w:numPr>
          <w:ilvl w:val="0"/>
          <w:numId w:val="4"/>
        </w:numPr>
        <w:spacing w:line="248" w:lineRule="auto"/>
        <w:ind w:right="14"/>
        <w:jc w:val="both"/>
        <w:rPr>
          <w:rFonts w:cs="Times New Roman"/>
          <w:szCs w:val="24"/>
        </w:rPr>
      </w:pPr>
      <w:r w:rsidRPr="005B26B0">
        <w:rPr>
          <w:rFonts w:cs="Times New Roman"/>
          <w:szCs w:val="24"/>
        </w:rPr>
        <w:t>Pomoći</w:t>
      </w:r>
    </w:p>
    <w:p w:rsidR="00DA4CF1" w:rsidRPr="005B26B0" w:rsidRDefault="00B633FC" w:rsidP="009F002F">
      <w:pPr>
        <w:pStyle w:val="ListParagraph"/>
        <w:numPr>
          <w:ilvl w:val="0"/>
          <w:numId w:val="4"/>
        </w:numPr>
        <w:spacing w:line="248" w:lineRule="auto"/>
        <w:ind w:right="14"/>
        <w:jc w:val="both"/>
        <w:rPr>
          <w:rFonts w:cs="Times New Roman"/>
          <w:szCs w:val="24"/>
        </w:rPr>
      </w:pPr>
      <w:r w:rsidRPr="005B26B0">
        <w:rPr>
          <w:rFonts w:cs="Times New Roman"/>
          <w:szCs w:val="24"/>
        </w:rPr>
        <w:t>Donacije</w:t>
      </w:r>
    </w:p>
    <w:p w:rsidR="00955BA8" w:rsidRPr="005B26B0" w:rsidRDefault="00955BA8" w:rsidP="00955BA8">
      <w:pPr>
        <w:spacing w:after="0" w:line="248" w:lineRule="auto"/>
        <w:ind w:left="772" w:right="14"/>
        <w:jc w:val="both"/>
        <w:rPr>
          <w:rFonts w:ascii="Times New Roman" w:hAnsi="Times New Roman" w:cs="Times New Roman"/>
          <w:sz w:val="24"/>
          <w:szCs w:val="24"/>
        </w:rPr>
      </w:pPr>
    </w:p>
    <w:p w:rsidR="000D20C9" w:rsidRPr="005B26B0" w:rsidRDefault="00B633FC" w:rsidP="003A476B">
      <w:pPr>
        <w:pStyle w:val="HTMLPreformatted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5B26B0">
        <w:rPr>
          <w:rFonts w:ascii="Times New Roman" w:hAnsi="Times New Roman" w:cs="Times New Roman"/>
          <w:b/>
          <w:sz w:val="24"/>
          <w:szCs w:val="24"/>
        </w:rPr>
        <w:t xml:space="preserve">11 </w:t>
      </w:r>
      <w:proofErr w:type="spellStart"/>
      <w:r w:rsidRPr="005B26B0">
        <w:rPr>
          <w:rFonts w:ascii="Times New Roman" w:hAnsi="Times New Roman" w:cs="Times New Roman"/>
          <w:b/>
          <w:sz w:val="24"/>
          <w:szCs w:val="24"/>
        </w:rPr>
        <w:t>Opće</w:t>
      </w:r>
      <w:proofErr w:type="spellEnd"/>
      <w:r w:rsidRPr="005B26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26B0">
        <w:rPr>
          <w:rFonts w:ascii="Times New Roman" w:hAnsi="Times New Roman" w:cs="Times New Roman"/>
          <w:b/>
          <w:sz w:val="24"/>
          <w:szCs w:val="24"/>
        </w:rPr>
        <w:t>prihode</w:t>
      </w:r>
      <w:proofErr w:type="spellEnd"/>
      <w:r w:rsidRPr="005B26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26B0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5B26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26B0">
        <w:rPr>
          <w:rFonts w:ascii="Times New Roman" w:hAnsi="Times New Roman" w:cs="Times New Roman"/>
          <w:b/>
          <w:sz w:val="24"/>
          <w:szCs w:val="24"/>
        </w:rPr>
        <w:t>primitke</w:t>
      </w:r>
      <w:proofErr w:type="spellEnd"/>
      <w:r w:rsidRPr="005B26B0">
        <w:rPr>
          <w:rFonts w:ascii="Times New Roman" w:hAnsi="Times New Roman" w:cs="Times New Roman"/>
          <w:sz w:val="24"/>
          <w:szCs w:val="24"/>
        </w:rPr>
        <w:t xml:space="preserve"> čine prihodi iz državnog proračuna za financiranje redovne djelatnosti - skupina 671.</w:t>
      </w:r>
      <w:r w:rsidR="0020237C" w:rsidRPr="005B26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20C9" w:rsidRPr="005B26B0" w:rsidRDefault="000D20C9" w:rsidP="000D20C9">
      <w:pPr>
        <w:spacing w:after="0"/>
        <w:ind w:left="38" w:right="14"/>
        <w:jc w:val="both"/>
        <w:rPr>
          <w:rFonts w:ascii="Times New Roman" w:hAnsi="Times New Roman" w:cs="Times New Roman"/>
          <w:sz w:val="24"/>
          <w:szCs w:val="24"/>
        </w:rPr>
      </w:pPr>
      <w:r w:rsidRPr="005B26B0">
        <w:rPr>
          <w:rFonts w:ascii="Times New Roman" w:hAnsi="Times New Roman" w:cs="Times New Roman"/>
          <w:sz w:val="24"/>
          <w:szCs w:val="24"/>
        </w:rPr>
        <w:t xml:space="preserve">Iz izvora </w:t>
      </w:r>
      <w:r w:rsidR="00662506" w:rsidRPr="005B26B0">
        <w:rPr>
          <w:rFonts w:ascii="Times New Roman" w:hAnsi="Times New Roman" w:cs="Times New Roman"/>
          <w:b/>
          <w:sz w:val="24"/>
          <w:szCs w:val="24"/>
        </w:rPr>
        <w:t>11</w:t>
      </w:r>
      <w:r w:rsidRPr="005B26B0">
        <w:rPr>
          <w:rFonts w:ascii="Times New Roman" w:hAnsi="Times New Roman" w:cs="Times New Roman"/>
          <w:sz w:val="24"/>
          <w:szCs w:val="24"/>
        </w:rPr>
        <w:t xml:space="preserve"> se u razdoblju 2023-2025. godini planiraju ostvariti slijedeći iznosi u EUR:</w:t>
      </w:r>
    </w:p>
    <w:p w:rsidR="000D20C9" w:rsidRPr="005B26B0" w:rsidRDefault="000D20C9" w:rsidP="003A476B">
      <w:pPr>
        <w:pStyle w:val="HTMLPreformatted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220" w:type="dxa"/>
        <w:tblLook w:val="04A0" w:firstRow="1" w:lastRow="0" w:firstColumn="1" w:lastColumn="0" w:noHBand="0" w:noVBand="1"/>
      </w:tblPr>
      <w:tblGrid>
        <w:gridCol w:w="1720"/>
        <w:gridCol w:w="1780"/>
        <w:gridCol w:w="1720"/>
      </w:tblGrid>
      <w:tr w:rsidR="000D20C9" w:rsidRPr="005B26B0" w:rsidTr="000D20C9">
        <w:trPr>
          <w:trHeight w:val="300"/>
        </w:trPr>
        <w:tc>
          <w:tcPr>
            <w:tcW w:w="17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</w:tcPr>
          <w:p w:rsidR="000D20C9" w:rsidRPr="005B26B0" w:rsidRDefault="00601981" w:rsidP="000D20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5B26B0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5.994.520</w:t>
            </w:r>
          </w:p>
        </w:tc>
        <w:tc>
          <w:tcPr>
            <w:tcW w:w="1780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0D20C9" w:rsidRPr="005B26B0" w:rsidRDefault="00601981" w:rsidP="000D20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5B26B0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6.018.944</w:t>
            </w:r>
          </w:p>
        </w:tc>
        <w:tc>
          <w:tcPr>
            <w:tcW w:w="1720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0D20C9" w:rsidRPr="005B26B0" w:rsidRDefault="00601981" w:rsidP="000D20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5B26B0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6.043.483</w:t>
            </w:r>
          </w:p>
        </w:tc>
      </w:tr>
    </w:tbl>
    <w:p w:rsidR="000D20C9" w:rsidRPr="005B26B0" w:rsidRDefault="000D20C9" w:rsidP="003A476B">
      <w:pPr>
        <w:pStyle w:val="HTMLPreformatted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3A476B" w:rsidRPr="005B26B0" w:rsidRDefault="000D20C9" w:rsidP="003A476B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6B0">
        <w:rPr>
          <w:rFonts w:ascii="Times New Roman" w:hAnsi="Times New Roman" w:cs="Times New Roman"/>
          <w:sz w:val="24"/>
          <w:szCs w:val="24"/>
        </w:rPr>
        <w:t xml:space="preserve">Plan </w:t>
      </w:r>
      <w:proofErr w:type="spellStart"/>
      <w:r w:rsidRPr="005B26B0">
        <w:rPr>
          <w:rFonts w:ascii="Times New Roman" w:hAnsi="Times New Roman" w:cs="Times New Roman"/>
          <w:sz w:val="24"/>
          <w:szCs w:val="24"/>
        </w:rPr>
        <w:t>ovih</w:t>
      </w:r>
      <w:proofErr w:type="spellEnd"/>
      <w:r w:rsidRPr="005B2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432C" w:rsidRPr="005B26B0">
        <w:rPr>
          <w:rFonts w:ascii="Times New Roman" w:hAnsi="Times New Roman" w:cs="Times New Roman"/>
          <w:sz w:val="24"/>
          <w:szCs w:val="24"/>
        </w:rPr>
        <w:t>p</w:t>
      </w:r>
      <w:r w:rsidRPr="005B26B0">
        <w:rPr>
          <w:rFonts w:ascii="Times New Roman" w:hAnsi="Times New Roman" w:cs="Times New Roman"/>
          <w:sz w:val="24"/>
          <w:szCs w:val="24"/>
        </w:rPr>
        <w:t>rihoda</w:t>
      </w:r>
      <w:proofErr w:type="spellEnd"/>
      <w:r w:rsidRPr="005B26B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3A476B" w:rsidRPr="005B26B0">
        <w:rPr>
          <w:rFonts w:ascii="Times New Roman" w:hAnsi="Times New Roman" w:cs="Times New Roman"/>
          <w:sz w:val="24"/>
          <w:szCs w:val="24"/>
        </w:rPr>
        <w:t>temelj</w:t>
      </w:r>
      <w:r w:rsidRPr="005B26B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3A476B" w:rsidRPr="005B2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476B" w:rsidRPr="005B26B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3A476B" w:rsidRPr="005B2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476B" w:rsidRPr="005B26B0">
        <w:rPr>
          <w:rFonts w:ascii="Times New Roman" w:hAnsi="Times New Roman" w:cs="Times New Roman"/>
          <w:sz w:val="24"/>
          <w:szCs w:val="24"/>
        </w:rPr>
        <w:t>limitima</w:t>
      </w:r>
      <w:proofErr w:type="spellEnd"/>
      <w:r w:rsidR="003A476B" w:rsidRPr="005B2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476B" w:rsidRPr="005B26B0">
        <w:rPr>
          <w:rFonts w:ascii="Times New Roman" w:hAnsi="Times New Roman" w:cs="Times New Roman"/>
          <w:sz w:val="24"/>
          <w:szCs w:val="24"/>
        </w:rPr>
        <w:t>dostavljenim</w:t>
      </w:r>
      <w:r w:rsidRPr="005B26B0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3A476B" w:rsidRPr="005B2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476B" w:rsidRPr="005B26B0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3A476B" w:rsidRPr="005B2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476B" w:rsidRPr="005B26B0">
        <w:rPr>
          <w:rFonts w:ascii="Times New Roman" w:hAnsi="Times New Roman" w:cs="Times New Roman"/>
          <w:sz w:val="24"/>
          <w:szCs w:val="24"/>
        </w:rPr>
        <w:t>Sveučilišta</w:t>
      </w:r>
      <w:proofErr w:type="spellEnd"/>
      <w:r w:rsidR="003A476B" w:rsidRPr="005B26B0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3A476B" w:rsidRPr="005B26B0">
        <w:rPr>
          <w:rFonts w:ascii="Times New Roman" w:hAnsi="Times New Roman" w:cs="Times New Roman"/>
          <w:sz w:val="24"/>
          <w:szCs w:val="24"/>
        </w:rPr>
        <w:t>Splitu</w:t>
      </w:r>
      <w:proofErr w:type="spellEnd"/>
      <w:r w:rsidR="00662506" w:rsidRPr="005B26B0">
        <w:rPr>
          <w:rFonts w:ascii="Times New Roman" w:hAnsi="Times New Roman" w:cs="Times New Roman"/>
          <w:sz w:val="24"/>
          <w:szCs w:val="24"/>
        </w:rPr>
        <w:t xml:space="preserve">. </w:t>
      </w:r>
      <w:r w:rsidR="00600C7F" w:rsidRPr="005B26B0">
        <w:rPr>
          <w:rFonts w:ascii="Times New Roman" w:hAnsi="Times New Roman" w:cs="Times New Roman"/>
          <w:sz w:val="24"/>
          <w:szCs w:val="24"/>
        </w:rPr>
        <w:t xml:space="preserve">Ova </w:t>
      </w:r>
      <w:proofErr w:type="spellStart"/>
      <w:r w:rsidR="00600C7F" w:rsidRPr="005B26B0">
        <w:rPr>
          <w:rFonts w:ascii="Times New Roman" w:hAnsi="Times New Roman" w:cs="Times New Roman"/>
          <w:sz w:val="24"/>
          <w:szCs w:val="24"/>
        </w:rPr>
        <w:t>sredstva</w:t>
      </w:r>
      <w:proofErr w:type="spellEnd"/>
      <w:r w:rsidR="00600C7F" w:rsidRPr="005B26B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600C7F" w:rsidRPr="005B26B0">
        <w:rPr>
          <w:rFonts w:ascii="Times New Roman" w:hAnsi="Times New Roman" w:cs="Times New Roman"/>
          <w:sz w:val="24"/>
          <w:szCs w:val="24"/>
        </w:rPr>
        <w:t>odnose</w:t>
      </w:r>
      <w:proofErr w:type="spellEnd"/>
      <w:r w:rsidR="00600C7F" w:rsidRPr="005B2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0C7F" w:rsidRPr="005B26B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600C7F" w:rsidRPr="005B2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134B" w:rsidRPr="005B26B0">
        <w:rPr>
          <w:rFonts w:ascii="Times New Roman" w:hAnsi="Times New Roman" w:cs="Times New Roman"/>
          <w:color w:val="000000"/>
          <w:sz w:val="24"/>
          <w:szCs w:val="24"/>
        </w:rPr>
        <w:t>redovnu</w:t>
      </w:r>
      <w:proofErr w:type="spellEnd"/>
      <w:r w:rsidR="000B134B" w:rsidRPr="005B26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B134B" w:rsidRPr="005B26B0">
        <w:rPr>
          <w:rFonts w:ascii="Times New Roman" w:hAnsi="Times New Roman" w:cs="Times New Roman"/>
          <w:color w:val="000000"/>
          <w:sz w:val="24"/>
          <w:szCs w:val="24"/>
        </w:rPr>
        <w:t>djelatnost</w:t>
      </w:r>
      <w:proofErr w:type="spellEnd"/>
      <w:r w:rsidR="000B134B" w:rsidRPr="005B26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B134B" w:rsidRPr="005B26B0">
        <w:rPr>
          <w:rFonts w:ascii="Times New Roman" w:hAnsi="Times New Roman" w:cs="Times New Roman"/>
          <w:color w:val="000000"/>
          <w:sz w:val="24"/>
          <w:szCs w:val="24"/>
        </w:rPr>
        <w:t>uključujući</w:t>
      </w:r>
      <w:proofErr w:type="spellEnd"/>
      <w:r w:rsidR="000B134B" w:rsidRPr="005B26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B134B" w:rsidRPr="005B26B0">
        <w:rPr>
          <w:rFonts w:ascii="Times New Roman" w:hAnsi="Times New Roman" w:cs="Times New Roman"/>
          <w:color w:val="000000"/>
          <w:sz w:val="24"/>
          <w:szCs w:val="24"/>
        </w:rPr>
        <w:t>plaće</w:t>
      </w:r>
      <w:proofErr w:type="spellEnd"/>
      <w:r w:rsidR="000B134B" w:rsidRPr="005B26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B134B" w:rsidRPr="005B26B0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="000B134B" w:rsidRPr="005B26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0B134B" w:rsidRPr="005B26B0">
        <w:rPr>
          <w:rFonts w:ascii="Times New Roman" w:hAnsi="Times New Roman" w:cs="Times New Roman"/>
          <w:color w:val="000000"/>
          <w:sz w:val="24"/>
          <w:szCs w:val="24"/>
        </w:rPr>
        <w:t>prijevozom</w:t>
      </w:r>
      <w:proofErr w:type="spellEnd"/>
      <w:r w:rsidR="000B134B" w:rsidRPr="005B26B0">
        <w:rPr>
          <w:rFonts w:ascii="Times New Roman" w:hAnsi="Times New Roman" w:cs="Times New Roman"/>
          <w:color w:val="000000"/>
          <w:sz w:val="24"/>
          <w:szCs w:val="24"/>
        </w:rPr>
        <w:t xml:space="preserve">;  </w:t>
      </w:r>
      <w:proofErr w:type="spellStart"/>
      <w:r w:rsidR="000B134B" w:rsidRPr="005B26B0">
        <w:rPr>
          <w:rFonts w:ascii="Times New Roman" w:hAnsi="Times New Roman" w:cs="Times New Roman"/>
          <w:color w:val="000000"/>
          <w:sz w:val="24"/>
          <w:szCs w:val="24"/>
        </w:rPr>
        <w:t>temeljno</w:t>
      </w:r>
      <w:proofErr w:type="spellEnd"/>
      <w:proofErr w:type="gramEnd"/>
      <w:r w:rsidR="000B134B" w:rsidRPr="005B26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B134B" w:rsidRPr="005B26B0">
        <w:rPr>
          <w:rFonts w:ascii="Times New Roman" w:hAnsi="Times New Roman" w:cs="Times New Roman"/>
          <w:color w:val="000000"/>
          <w:sz w:val="24"/>
          <w:szCs w:val="24"/>
        </w:rPr>
        <w:t>financiranje</w:t>
      </w:r>
      <w:proofErr w:type="spellEnd"/>
      <w:r w:rsidR="000B134B" w:rsidRPr="005B26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B134B" w:rsidRPr="005B26B0">
        <w:rPr>
          <w:rFonts w:ascii="Times New Roman" w:hAnsi="Times New Roman" w:cs="Times New Roman"/>
          <w:color w:val="000000"/>
          <w:sz w:val="24"/>
          <w:szCs w:val="24"/>
        </w:rPr>
        <w:t>nastavne</w:t>
      </w:r>
      <w:proofErr w:type="spellEnd"/>
      <w:r w:rsidR="000B134B" w:rsidRPr="005B26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B134B" w:rsidRPr="005B26B0">
        <w:rPr>
          <w:rFonts w:ascii="Times New Roman" w:hAnsi="Times New Roman" w:cs="Times New Roman"/>
          <w:color w:val="000000"/>
          <w:sz w:val="24"/>
          <w:szCs w:val="24"/>
        </w:rPr>
        <w:t>djelatnosti</w:t>
      </w:r>
      <w:proofErr w:type="spellEnd"/>
      <w:r w:rsidRPr="005B26B0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0B134B" w:rsidRPr="005B26B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0B134B" w:rsidRPr="005B26B0">
        <w:rPr>
          <w:rFonts w:ascii="Times New Roman" w:hAnsi="Times New Roman" w:cs="Times New Roman"/>
          <w:color w:val="000000"/>
          <w:sz w:val="24"/>
          <w:szCs w:val="24"/>
        </w:rPr>
        <w:t>temeljeno</w:t>
      </w:r>
      <w:proofErr w:type="spellEnd"/>
      <w:r w:rsidR="000B134B" w:rsidRPr="005B26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B134B" w:rsidRPr="005B26B0">
        <w:rPr>
          <w:rFonts w:ascii="Times New Roman" w:hAnsi="Times New Roman" w:cs="Times New Roman"/>
          <w:color w:val="000000"/>
          <w:sz w:val="24"/>
          <w:szCs w:val="24"/>
        </w:rPr>
        <w:t>financiranje</w:t>
      </w:r>
      <w:proofErr w:type="spellEnd"/>
      <w:r w:rsidR="000B134B" w:rsidRPr="005B26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B134B" w:rsidRPr="005B26B0">
        <w:rPr>
          <w:rFonts w:ascii="Times New Roman" w:hAnsi="Times New Roman" w:cs="Times New Roman"/>
          <w:color w:val="000000"/>
          <w:sz w:val="24"/>
          <w:szCs w:val="24"/>
        </w:rPr>
        <w:t>znanstvene</w:t>
      </w:r>
      <w:proofErr w:type="spellEnd"/>
      <w:r w:rsidR="000B134B" w:rsidRPr="005B26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B134B" w:rsidRPr="005B26B0">
        <w:rPr>
          <w:rFonts w:ascii="Times New Roman" w:hAnsi="Times New Roman" w:cs="Times New Roman"/>
          <w:color w:val="000000"/>
          <w:sz w:val="24"/>
          <w:szCs w:val="24"/>
        </w:rPr>
        <w:t>djelatnosti</w:t>
      </w:r>
      <w:proofErr w:type="spellEnd"/>
      <w:r w:rsidR="000B134B" w:rsidRPr="005B26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30C67" w:rsidRPr="005B26B0">
        <w:rPr>
          <w:rFonts w:ascii="Times New Roman" w:hAnsi="Times New Roman" w:cs="Times New Roman"/>
          <w:color w:val="000000"/>
          <w:sz w:val="24"/>
          <w:szCs w:val="24"/>
        </w:rPr>
        <w:t>te</w:t>
      </w:r>
      <w:proofErr w:type="spellEnd"/>
      <w:r w:rsidR="00630C67" w:rsidRPr="005B26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B134B" w:rsidRPr="005B26B0">
        <w:rPr>
          <w:rFonts w:ascii="Times New Roman" w:hAnsi="Times New Roman" w:cs="Times New Roman"/>
          <w:color w:val="000000"/>
          <w:sz w:val="24"/>
          <w:szCs w:val="24"/>
        </w:rPr>
        <w:t>refundaciju</w:t>
      </w:r>
      <w:proofErr w:type="spellEnd"/>
      <w:r w:rsidR="000B134B" w:rsidRPr="005B26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B134B" w:rsidRPr="005B26B0">
        <w:rPr>
          <w:rFonts w:ascii="Times New Roman" w:hAnsi="Times New Roman" w:cs="Times New Roman"/>
          <w:color w:val="000000"/>
          <w:sz w:val="24"/>
          <w:szCs w:val="24"/>
        </w:rPr>
        <w:t>plaća</w:t>
      </w:r>
      <w:proofErr w:type="spellEnd"/>
      <w:r w:rsidR="000B134B" w:rsidRPr="005B26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B134B" w:rsidRPr="005B26B0">
        <w:rPr>
          <w:rFonts w:ascii="Times New Roman" w:hAnsi="Times New Roman" w:cs="Times New Roman"/>
          <w:color w:val="000000"/>
          <w:sz w:val="24"/>
          <w:szCs w:val="24"/>
        </w:rPr>
        <w:t>isplaćenih</w:t>
      </w:r>
      <w:proofErr w:type="spellEnd"/>
      <w:r w:rsidR="000B134B" w:rsidRPr="005B26B0">
        <w:rPr>
          <w:rFonts w:ascii="Times New Roman" w:hAnsi="Times New Roman" w:cs="Times New Roman"/>
          <w:color w:val="000000"/>
          <w:sz w:val="24"/>
          <w:szCs w:val="24"/>
        </w:rPr>
        <w:t xml:space="preserve"> po </w:t>
      </w:r>
      <w:proofErr w:type="spellStart"/>
      <w:r w:rsidR="000B134B" w:rsidRPr="005B26B0">
        <w:rPr>
          <w:rFonts w:ascii="Times New Roman" w:hAnsi="Times New Roman" w:cs="Times New Roman"/>
          <w:color w:val="000000"/>
          <w:sz w:val="24"/>
          <w:szCs w:val="24"/>
        </w:rPr>
        <w:t>pravomoćnim</w:t>
      </w:r>
      <w:proofErr w:type="spellEnd"/>
      <w:r w:rsidR="000B134B" w:rsidRPr="005B26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B134B" w:rsidRPr="005B26B0">
        <w:rPr>
          <w:rFonts w:ascii="Times New Roman" w:hAnsi="Times New Roman" w:cs="Times New Roman"/>
          <w:color w:val="000000"/>
          <w:sz w:val="24"/>
          <w:szCs w:val="24"/>
        </w:rPr>
        <w:t>sudskim</w:t>
      </w:r>
      <w:proofErr w:type="spellEnd"/>
      <w:r w:rsidR="000B134B" w:rsidRPr="005B26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B134B" w:rsidRPr="005B26B0">
        <w:rPr>
          <w:rFonts w:ascii="Times New Roman" w:hAnsi="Times New Roman" w:cs="Times New Roman"/>
          <w:color w:val="000000"/>
          <w:sz w:val="24"/>
          <w:szCs w:val="24"/>
        </w:rPr>
        <w:t>presudama</w:t>
      </w:r>
      <w:proofErr w:type="spellEnd"/>
      <w:r w:rsidR="00630C67" w:rsidRPr="005B26B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C2554" w:rsidRPr="005B26B0" w:rsidRDefault="00BC2554" w:rsidP="003A476B">
      <w:pPr>
        <w:pStyle w:val="HTMLPreformatted"/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20C9" w:rsidRPr="005B26B0" w:rsidRDefault="00B633FC" w:rsidP="003A476B">
      <w:pPr>
        <w:pStyle w:val="HTMLPreformatted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5B26B0">
        <w:rPr>
          <w:rFonts w:ascii="Times New Roman" w:hAnsi="Times New Roman" w:cs="Times New Roman"/>
          <w:b/>
          <w:sz w:val="24"/>
          <w:szCs w:val="24"/>
        </w:rPr>
        <w:t xml:space="preserve">12 </w:t>
      </w:r>
      <w:proofErr w:type="spellStart"/>
      <w:r w:rsidRPr="005B26B0">
        <w:rPr>
          <w:rFonts w:ascii="Times New Roman" w:hAnsi="Times New Roman" w:cs="Times New Roman"/>
          <w:b/>
          <w:sz w:val="24"/>
          <w:szCs w:val="24"/>
        </w:rPr>
        <w:t>Sredstva</w:t>
      </w:r>
      <w:proofErr w:type="spellEnd"/>
      <w:r w:rsidRPr="005B26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26B0">
        <w:rPr>
          <w:rFonts w:ascii="Times New Roman" w:hAnsi="Times New Roman" w:cs="Times New Roman"/>
          <w:b/>
          <w:sz w:val="24"/>
          <w:szCs w:val="24"/>
        </w:rPr>
        <w:t>učeš</w:t>
      </w:r>
      <w:r w:rsidR="003A476B" w:rsidRPr="005B26B0">
        <w:rPr>
          <w:rFonts w:ascii="Times New Roman" w:hAnsi="Times New Roman" w:cs="Times New Roman"/>
          <w:b/>
          <w:sz w:val="24"/>
          <w:szCs w:val="24"/>
        </w:rPr>
        <w:t>ć</w:t>
      </w:r>
      <w:r w:rsidRPr="005B26B0">
        <w:rPr>
          <w:rFonts w:ascii="Times New Roman" w:hAnsi="Times New Roman" w:cs="Times New Roman"/>
          <w:b/>
          <w:sz w:val="24"/>
          <w:szCs w:val="24"/>
        </w:rPr>
        <w:t>a</w:t>
      </w:r>
      <w:proofErr w:type="spellEnd"/>
      <w:r w:rsidRPr="005B26B0">
        <w:rPr>
          <w:rFonts w:ascii="Times New Roman" w:hAnsi="Times New Roman" w:cs="Times New Roman"/>
          <w:b/>
          <w:sz w:val="24"/>
          <w:szCs w:val="24"/>
        </w:rPr>
        <w:t xml:space="preserve"> za </w:t>
      </w:r>
      <w:proofErr w:type="spellStart"/>
      <w:r w:rsidRPr="005B26B0">
        <w:rPr>
          <w:rFonts w:ascii="Times New Roman" w:hAnsi="Times New Roman" w:cs="Times New Roman"/>
          <w:b/>
          <w:sz w:val="24"/>
          <w:szCs w:val="24"/>
        </w:rPr>
        <w:t>pomoći</w:t>
      </w:r>
      <w:proofErr w:type="spellEnd"/>
      <w:r w:rsidRPr="005B26B0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5B26B0">
        <w:rPr>
          <w:rFonts w:ascii="Times New Roman" w:hAnsi="Times New Roman" w:cs="Times New Roman"/>
          <w:sz w:val="24"/>
          <w:szCs w:val="24"/>
        </w:rPr>
        <w:t>učešće</w:t>
      </w:r>
      <w:proofErr w:type="spellEnd"/>
      <w:r w:rsidRPr="005B2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6B0">
        <w:rPr>
          <w:rFonts w:ascii="Times New Roman" w:hAnsi="Times New Roman" w:cs="Times New Roman"/>
          <w:sz w:val="24"/>
          <w:szCs w:val="24"/>
        </w:rPr>
        <w:t>državnog</w:t>
      </w:r>
      <w:proofErr w:type="spellEnd"/>
      <w:r w:rsidRPr="005B2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6B0">
        <w:rPr>
          <w:rFonts w:ascii="Times New Roman" w:hAnsi="Times New Roman" w:cs="Times New Roman"/>
          <w:sz w:val="24"/>
          <w:szCs w:val="24"/>
        </w:rPr>
        <w:t>proračuna</w:t>
      </w:r>
      <w:proofErr w:type="spellEnd"/>
      <w:r w:rsidRPr="005B26B0">
        <w:rPr>
          <w:rFonts w:ascii="Times New Roman" w:hAnsi="Times New Roman" w:cs="Times New Roman"/>
          <w:sz w:val="24"/>
          <w:szCs w:val="24"/>
        </w:rPr>
        <w:t xml:space="preserve"> u EU </w:t>
      </w:r>
      <w:proofErr w:type="spellStart"/>
      <w:r w:rsidRPr="005B26B0">
        <w:rPr>
          <w:rFonts w:ascii="Times New Roman" w:hAnsi="Times New Roman" w:cs="Times New Roman"/>
          <w:sz w:val="24"/>
          <w:szCs w:val="24"/>
        </w:rPr>
        <w:t>projektima</w:t>
      </w:r>
      <w:proofErr w:type="spellEnd"/>
      <w:r w:rsidRPr="005B26B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5B26B0">
        <w:rPr>
          <w:rFonts w:ascii="Times New Roman" w:hAnsi="Times New Roman" w:cs="Times New Roman"/>
          <w:sz w:val="24"/>
          <w:szCs w:val="24"/>
        </w:rPr>
        <w:t>odnose</w:t>
      </w:r>
      <w:proofErr w:type="spellEnd"/>
      <w:r w:rsidRPr="005B26B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5B26B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5B2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6B0">
        <w:rPr>
          <w:rFonts w:ascii="Times New Roman" w:hAnsi="Times New Roman" w:cs="Times New Roman"/>
          <w:sz w:val="24"/>
          <w:szCs w:val="24"/>
        </w:rPr>
        <w:t>projekte</w:t>
      </w:r>
      <w:proofErr w:type="spellEnd"/>
      <w:r w:rsidRPr="005B2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6B0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5B2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6B0">
        <w:rPr>
          <w:rFonts w:ascii="Times New Roman" w:hAnsi="Times New Roman" w:cs="Times New Roman"/>
          <w:sz w:val="24"/>
          <w:szCs w:val="24"/>
        </w:rPr>
        <w:t>Europskog</w:t>
      </w:r>
      <w:proofErr w:type="spellEnd"/>
      <w:r w:rsidRPr="005B2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6B0">
        <w:rPr>
          <w:rFonts w:ascii="Times New Roman" w:hAnsi="Times New Roman" w:cs="Times New Roman"/>
          <w:sz w:val="24"/>
          <w:szCs w:val="24"/>
        </w:rPr>
        <w:t>socijalnog</w:t>
      </w:r>
      <w:proofErr w:type="spellEnd"/>
      <w:r w:rsidRPr="005B2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6B0">
        <w:rPr>
          <w:rFonts w:ascii="Times New Roman" w:hAnsi="Times New Roman" w:cs="Times New Roman"/>
          <w:sz w:val="24"/>
          <w:szCs w:val="24"/>
        </w:rPr>
        <w:t>fonda</w:t>
      </w:r>
      <w:proofErr w:type="spellEnd"/>
      <w:r w:rsidRPr="005B26B0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5B26B0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5B2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6B0">
        <w:rPr>
          <w:rFonts w:ascii="Times New Roman" w:hAnsi="Times New Roman" w:cs="Times New Roman"/>
          <w:sz w:val="24"/>
          <w:szCs w:val="24"/>
        </w:rPr>
        <w:t>učešće</w:t>
      </w:r>
      <w:proofErr w:type="spellEnd"/>
      <w:r w:rsidRPr="005B26B0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5B26B0">
        <w:rPr>
          <w:rFonts w:ascii="Times New Roman" w:hAnsi="Times New Roman" w:cs="Times New Roman"/>
          <w:sz w:val="24"/>
          <w:szCs w:val="24"/>
        </w:rPr>
        <w:t>visini</w:t>
      </w:r>
      <w:proofErr w:type="spellEnd"/>
      <w:r w:rsidRPr="005B26B0">
        <w:rPr>
          <w:rFonts w:ascii="Times New Roman" w:hAnsi="Times New Roman" w:cs="Times New Roman"/>
          <w:sz w:val="24"/>
          <w:szCs w:val="24"/>
        </w:rPr>
        <w:t xml:space="preserve"> 15% </w:t>
      </w:r>
      <w:proofErr w:type="spellStart"/>
      <w:r w:rsidRPr="005B26B0">
        <w:rPr>
          <w:rFonts w:ascii="Times New Roman" w:hAnsi="Times New Roman" w:cs="Times New Roman"/>
          <w:sz w:val="24"/>
          <w:szCs w:val="24"/>
        </w:rPr>
        <w:t>osigurava</w:t>
      </w:r>
      <w:proofErr w:type="spellEnd"/>
      <w:r w:rsidRPr="005B2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6B0">
        <w:rPr>
          <w:rFonts w:ascii="Times New Roman" w:hAnsi="Times New Roman" w:cs="Times New Roman"/>
          <w:sz w:val="24"/>
          <w:szCs w:val="24"/>
        </w:rPr>
        <w:t>Državni</w:t>
      </w:r>
      <w:proofErr w:type="spellEnd"/>
      <w:r w:rsidRPr="005B2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6B0">
        <w:rPr>
          <w:rFonts w:ascii="Times New Roman" w:hAnsi="Times New Roman" w:cs="Times New Roman"/>
          <w:sz w:val="24"/>
          <w:szCs w:val="24"/>
        </w:rPr>
        <w:t>proračun</w:t>
      </w:r>
      <w:proofErr w:type="spellEnd"/>
      <w:r w:rsidRPr="005B26B0">
        <w:rPr>
          <w:rFonts w:ascii="Times New Roman" w:hAnsi="Times New Roman" w:cs="Times New Roman"/>
          <w:sz w:val="24"/>
          <w:szCs w:val="24"/>
        </w:rPr>
        <w:t>.</w:t>
      </w:r>
    </w:p>
    <w:p w:rsidR="000D20C9" w:rsidRPr="005B26B0" w:rsidRDefault="000D20C9" w:rsidP="00662506">
      <w:pPr>
        <w:spacing w:after="0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5B26B0">
        <w:rPr>
          <w:rFonts w:ascii="Times New Roman" w:hAnsi="Times New Roman" w:cs="Times New Roman"/>
          <w:sz w:val="24"/>
          <w:szCs w:val="24"/>
        </w:rPr>
        <w:t xml:space="preserve">Iz izvora </w:t>
      </w:r>
      <w:r w:rsidRPr="005B26B0">
        <w:rPr>
          <w:rFonts w:ascii="Times New Roman" w:hAnsi="Times New Roman" w:cs="Times New Roman"/>
          <w:b/>
          <w:sz w:val="24"/>
          <w:szCs w:val="24"/>
        </w:rPr>
        <w:t>12</w:t>
      </w:r>
      <w:r w:rsidRPr="005B26B0">
        <w:rPr>
          <w:rFonts w:ascii="Times New Roman" w:hAnsi="Times New Roman" w:cs="Times New Roman"/>
          <w:sz w:val="24"/>
          <w:szCs w:val="24"/>
        </w:rPr>
        <w:t xml:space="preserve"> se u razdoblju 2023-2025. godini planiraju ostvariti slijedeći iznosi u EUR:</w:t>
      </w:r>
    </w:p>
    <w:tbl>
      <w:tblPr>
        <w:tblW w:w="5220" w:type="dxa"/>
        <w:tblLook w:val="04A0" w:firstRow="1" w:lastRow="0" w:firstColumn="1" w:lastColumn="0" w:noHBand="0" w:noVBand="1"/>
      </w:tblPr>
      <w:tblGrid>
        <w:gridCol w:w="1720"/>
        <w:gridCol w:w="1780"/>
        <w:gridCol w:w="1720"/>
      </w:tblGrid>
      <w:tr w:rsidR="000D20C9" w:rsidRPr="005B26B0" w:rsidTr="000D20C9">
        <w:trPr>
          <w:trHeight w:val="300"/>
        </w:trPr>
        <w:tc>
          <w:tcPr>
            <w:tcW w:w="17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0D20C9" w:rsidRPr="005B26B0" w:rsidRDefault="00601981" w:rsidP="000D20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5B26B0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9.800</w:t>
            </w:r>
          </w:p>
        </w:tc>
        <w:tc>
          <w:tcPr>
            <w:tcW w:w="1780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0D20C9" w:rsidRPr="005B26B0" w:rsidRDefault="000D20C9" w:rsidP="000D20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5B26B0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720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0D20C9" w:rsidRPr="005B26B0" w:rsidRDefault="000D20C9" w:rsidP="000D20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5B26B0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0</w:t>
            </w:r>
          </w:p>
        </w:tc>
      </w:tr>
    </w:tbl>
    <w:p w:rsidR="000D20C9" w:rsidRPr="005B26B0" w:rsidRDefault="000D20C9" w:rsidP="000D20C9">
      <w:pPr>
        <w:spacing w:after="0"/>
        <w:ind w:left="38" w:right="14"/>
        <w:jc w:val="both"/>
        <w:rPr>
          <w:rFonts w:ascii="Times New Roman" w:hAnsi="Times New Roman" w:cs="Times New Roman"/>
          <w:sz w:val="24"/>
          <w:szCs w:val="24"/>
        </w:rPr>
      </w:pPr>
    </w:p>
    <w:p w:rsidR="000D20C9" w:rsidRPr="005B26B0" w:rsidRDefault="000D20C9" w:rsidP="003A476B">
      <w:pPr>
        <w:pStyle w:val="HTMLPreformatted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3A476B" w:rsidRPr="005B26B0" w:rsidRDefault="000D20C9" w:rsidP="003A476B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6B0">
        <w:rPr>
          <w:rFonts w:ascii="Times New Roman" w:hAnsi="Times New Roman" w:cs="Times New Roman"/>
          <w:sz w:val="24"/>
          <w:szCs w:val="24"/>
        </w:rPr>
        <w:t xml:space="preserve">Ova </w:t>
      </w:r>
      <w:proofErr w:type="spellStart"/>
      <w:r w:rsidRPr="005B26B0">
        <w:rPr>
          <w:rFonts w:ascii="Times New Roman" w:hAnsi="Times New Roman" w:cs="Times New Roman"/>
          <w:sz w:val="24"/>
          <w:szCs w:val="24"/>
        </w:rPr>
        <w:t>sredstva</w:t>
      </w:r>
      <w:proofErr w:type="spellEnd"/>
      <w:r w:rsidRPr="005B26B0">
        <w:rPr>
          <w:rFonts w:ascii="Times New Roman" w:hAnsi="Times New Roman" w:cs="Times New Roman"/>
          <w:sz w:val="24"/>
          <w:szCs w:val="24"/>
        </w:rPr>
        <w:t xml:space="preserve"> se</w:t>
      </w:r>
      <w:r w:rsidR="003A476B" w:rsidRPr="005B26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3A476B" w:rsidRPr="005B26B0">
        <w:rPr>
          <w:rFonts w:ascii="Times New Roman" w:hAnsi="Times New Roman" w:cs="Times New Roman"/>
          <w:color w:val="000000"/>
          <w:sz w:val="24"/>
          <w:szCs w:val="24"/>
        </w:rPr>
        <w:t>odnos</w:t>
      </w:r>
      <w:r w:rsidRPr="005B26B0">
        <w:rPr>
          <w:rFonts w:ascii="Times New Roman" w:hAnsi="Times New Roman" w:cs="Times New Roman"/>
          <w:color w:val="000000"/>
          <w:sz w:val="24"/>
          <w:szCs w:val="24"/>
        </w:rPr>
        <w:t>e</w:t>
      </w:r>
      <w:proofErr w:type="spellEnd"/>
      <w:r w:rsidR="003A476B" w:rsidRPr="005B26B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3A476B" w:rsidRPr="005B26B0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proofErr w:type="gramEnd"/>
      <w:r w:rsidR="003A476B" w:rsidRPr="005B26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A476B" w:rsidRPr="005B26B0">
        <w:rPr>
          <w:rFonts w:ascii="Times New Roman" w:hAnsi="Times New Roman" w:cs="Times New Roman"/>
          <w:color w:val="000000"/>
          <w:sz w:val="24"/>
          <w:szCs w:val="24"/>
        </w:rPr>
        <w:t>učešće</w:t>
      </w:r>
      <w:proofErr w:type="spellEnd"/>
      <w:r w:rsidR="003A476B" w:rsidRPr="005B26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1432C" w:rsidRPr="005B26B0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3A476B" w:rsidRPr="005B26B0">
        <w:rPr>
          <w:rFonts w:ascii="Times New Roman" w:hAnsi="Times New Roman" w:cs="Times New Roman"/>
          <w:color w:val="000000"/>
          <w:sz w:val="24"/>
          <w:szCs w:val="24"/>
        </w:rPr>
        <w:t>ržavnog</w:t>
      </w:r>
      <w:proofErr w:type="spellEnd"/>
      <w:r w:rsidR="003A476B" w:rsidRPr="005B26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A476B" w:rsidRPr="005B26B0">
        <w:rPr>
          <w:rFonts w:ascii="Times New Roman" w:hAnsi="Times New Roman" w:cs="Times New Roman"/>
          <w:color w:val="000000"/>
          <w:sz w:val="24"/>
          <w:szCs w:val="24"/>
        </w:rPr>
        <w:t>proračuna</w:t>
      </w:r>
      <w:proofErr w:type="spellEnd"/>
      <w:r w:rsidR="003A476B" w:rsidRPr="005B26B0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="003A476B" w:rsidRPr="005B26B0">
        <w:rPr>
          <w:rFonts w:ascii="Times New Roman" w:hAnsi="Times New Roman" w:cs="Times New Roman"/>
          <w:color w:val="000000"/>
          <w:sz w:val="24"/>
          <w:szCs w:val="24"/>
        </w:rPr>
        <w:t>visini</w:t>
      </w:r>
      <w:proofErr w:type="spellEnd"/>
      <w:r w:rsidR="003A476B" w:rsidRPr="005B26B0">
        <w:rPr>
          <w:rFonts w:ascii="Times New Roman" w:hAnsi="Times New Roman" w:cs="Times New Roman"/>
          <w:color w:val="000000"/>
          <w:sz w:val="24"/>
          <w:szCs w:val="24"/>
        </w:rPr>
        <w:t xml:space="preserve">  15% u </w:t>
      </w:r>
      <w:proofErr w:type="spellStart"/>
      <w:r w:rsidR="003A476B" w:rsidRPr="005B26B0">
        <w:rPr>
          <w:rFonts w:ascii="Times New Roman" w:hAnsi="Times New Roman" w:cs="Times New Roman"/>
          <w:color w:val="000000"/>
          <w:sz w:val="24"/>
          <w:szCs w:val="24"/>
        </w:rPr>
        <w:t>rashodima</w:t>
      </w:r>
      <w:proofErr w:type="spellEnd"/>
      <w:r w:rsidR="003A476B" w:rsidRPr="005B26B0">
        <w:rPr>
          <w:rFonts w:ascii="Times New Roman" w:hAnsi="Times New Roman" w:cs="Times New Roman"/>
          <w:color w:val="000000"/>
          <w:sz w:val="24"/>
          <w:szCs w:val="24"/>
        </w:rPr>
        <w:t xml:space="preserve"> EU </w:t>
      </w:r>
      <w:proofErr w:type="spellStart"/>
      <w:r w:rsidR="003A476B" w:rsidRPr="005B26B0">
        <w:rPr>
          <w:rFonts w:ascii="Times New Roman" w:hAnsi="Times New Roman" w:cs="Times New Roman"/>
          <w:color w:val="000000"/>
          <w:sz w:val="24"/>
          <w:szCs w:val="24"/>
        </w:rPr>
        <w:t>projekta</w:t>
      </w:r>
      <w:proofErr w:type="spellEnd"/>
      <w:r w:rsidR="003A476B" w:rsidRPr="005B26B0">
        <w:rPr>
          <w:rFonts w:ascii="Times New Roman" w:hAnsi="Times New Roman" w:cs="Times New Roman"/>
          <w:color w:val="000000"/>
          <w:sz w:val="24"/>
          <w:szCs w:val="24"/>
        </w:rPr>
        <w:t xml:space="preserve"> “</w:t>
      </w:r>
      <w:proofErr w:type="spellStart"/>
      <w:r w:rsidR="003A476B" w:rsidRPr="005B26B0">
        <w:rPr>
          <w:rFonts w:ascii="Times New Roman" w:hAnsi="Times New Roman" w:cs="Times New Roman"/>
          <w:color w:val="000000"/>
          <w:sz w:val="24"/>
          <w:szCs w:val="24"/>
        </w:rPr>
        <w:t>Stručna</w:t>
      </w:r>
      <w:proofErr w:type="spellEnd"/>
      <w:r w:rsidR="003A476B" w:rsidRPr="005B26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A476B" w:rsidRPr="005B26B0">
        <w:rPr>
          <w:rFonts w:ascii="Times New Roman" w:hAnsi="Times New Roman" w:cs="Times New Roman"/>
          <w:color w:val="000000"/>
          <w:sz w:val="24"/>
          <w:szCs w:val="24"/>
        </w:rPr>
        <w:t>praksa</w:t>
      </w:r>
      <w:proofErr w:type="spellEnd"/>
      <w:r w:rsidR="003A476B" w:rsidRPr="005B26B0">
        <w:rPr>
          <w:rFonts w:ascii="Times New Roman" w:hAnsi="Times New Roman" w:cs="Times New Roman"/>
          <w:color w:val="000000"/>
          <w:sz w:val="24"/>
          <w:szCs w:val="24"/>
        </w:rPr>
        <w:t>”.</w:t>
      </w:r>
    </w:p>
    <w:p w:rsidR="003A476B" w:rsidRPr="005B26B0" w:rsidRDefault="003A476B" w:rsidP="003A476B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B26B0">
        <w:rPr>
          <w:rFonts w:ascii="Times New Roman" w:hAnsi="Times New Roman" w:cs="Times New Roman"/>
          <w:color w:val="000000"/>
          <w:sz w:val="24"/>
          <w:szCs w:val="24"/>
        </w:rPr>
        <w:t>Projekt</w:t>
      </w:r>
      <w:proofErr w:type="spellEnd"/>
      <w:r w:rsidRPr="005B26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26B0">
        <w:rPr>
          <w:rFonts w:ascii="Times New Roman" w:hAnsi="Times New Roman" w:cs="Times New Roman"/>
          <w:color w:val="000000"/>
          <w:sz w:val="24"/>
          <w:szCs w:val="24"/>
        </w:rPr>
        <w:t>završava</w:t>
      </w:r>
      <w:proofErr w:type="spellEnd"/>
      <w:r w:rsidRPr="005B26B0">
        <w:rPr>
          <w:rFonts w:ascii="Times New Roman" w:hAnsi="Times New Roman" w:cs="Times New Roman"/>
          <w:color w:val="000000"/>
          <w:sz w:val="24"/>
          <w:szCs w:val="24"/>
        </w:rPr>
        <w:t xml:space="preserve"> u 2023. </w:t>
      </w:r>
      <w:proofErr w:type="spellStart"/>
      <w:r w:rsidRPr="005B26B0">
        <w:rPr>
          <w:rFonts w:ascii="Times New Roman" w:hAnsi="Times New Roman" w:cs="Times New Roman"/>
          <w:color w:val="000000"/>
          <w:sz w:val="24"/>
          <w:szCs w:val="24"/>
        </w:rPr>
        <w:t>godini</w:t>
      </w:r>
      <w:proofErr w:type="spellEnd"/>
      <w:r w:rsidRPr="005B26B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B26B0">
        <w:rPr>
          <w:rFonts w:ascii="Times New Roman" w:hAnsi="Times New Roman" w:cs="Times New Roman"/>
          <w:color w:val="000000"/>
          <w:sz w:val="24"/>
          <w:szCs w:val="24"/>
        </w:rPr>
        <w:t>te</w:t>
      </w:r>
      <w:proofErr w:type="spellEnd"/>
      <w:r w:rsidRPr="005B26B0">
        <w:rPr>
          <w:rFonts w:ascii="Times New Roman" w:hAnsi="Times New Roman" w:cs="Times New Roman"/>
          <w:color w:val="000000"/>
          <w:sz w:val="24"/>
          <w:szCs w:val="24"/>
        </w:rPr>
        <w:t xml:space="preserve"> se u 2024. </w:t>
      </w:r>
      <w:proofErr w:type="spellStart"/>
      <w:r w:rsidRPr="005B26B0">
        <w:rPr>
          <w:rFonts w:ascii="Times New Roman" w:hAnsi="Times New Roman" w:cs="Times New Roman"/>
          <w:color w:val="000000"/>
          <w:sz w:val="24"/>
          <w:szCs w:val="24"/>
        </w:rPr>
        <w:t>te</w:t>
      </w:r>
      <w:proofErr w:type="spellEnd"/>
      <w:r w:rsidRPr="005B26B0">
        <w:rPr>
          <w:rFonts w:ascii="Times New Roman" w:hAnsi="Times New Roman" w:cs="Times New Roman"/>
          <w:color w:val="000000"/>
          <w:sz w:val="24"/>
          <w:szCs w:val="24"/>
        </w:rPr>
        <w:t xml:space="preserve"> 2025. </w:t>
      </w:r>
      <w:proofErr w:type="spellStart"/>
      <w:r w:rsidRPr="005B26B0">
        <w:rPr>
          <w:rFonts w:ascii="Times New Roman" w:hAnsi="Times New Roman" w:cs="Times New Roman"/>
          <w:color w:val="000000"/>
          <w:sz w:val="24"/>
          <w:szCs w:val="24"/>
        </w:rPr>
        <w:t>godini</w:t>
      </w:r>
      <w:proofErr w:type="spellEnd"/>
      <w:r w:rsidRPr="005B26B0">
        <w:rPr>
          <w:rFonts w:ascii="Times New Roman" w:hAnsi="Times New Roman" w:cs="Times New Roman"/>
          <w:color w:val="000000"/>
          <w:sz w:val="24"/>
          <w:szCs w:val="24"/>
        </w:rPr>
        <w:t xml:space="preserve"> ne </w:t>
      </w:r>
      <w:proofErr w:type="spellStart"/>
      <w:r w:rsidRPr="005B26B0">
        <w:rPr>
          <w:rFonts w:ascii="Times New Roman" w:hAnsi="Times New Roman" w:cs="Times New Roman"/>
          <w:color w:val="000000"/>
          <w:sz w:val="24"/>
          <w:szCs w:val="24"/>
        </w:rPr>
        <w:t>planiraju</w:t>
      </w:r>
      <w:proofErr w:type="spellEnd"/>
      <w:r w:rsidRPr="005B26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1432C" w:rsidRPr="005B26B0">
        <w:rPr>
          <w:rFonts w:ascii="Times New Roman" w:hAnsi="Times New Roman" w:cs="Times New Roman"/>
          <w:color w:val="000000"/>
          <w:sz w:val="24"/>
          <w:szCs w:val="24"/>
        </w:rPr>
        <w:t>prihodi</w:t>
      </w:r>
      <w:proofErr w:type="spellEnd"/>
      <w:r w:rsidRPr="005B26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26B0">
        <w:rPr>
          <w:rFonts w:ascii="Times New Roman" w:hAnsi="Times New Roman" w:cs="Times New Roman"/>
          <w:color w:val="000000"/>
          <w:sz w:val="24"/>
          <w:szCs w:val="24"/>
        </w:rPr>
        <w:t>iz</w:t>
      </w:r>
      <w:proofErr w:type="spellEnd"/>
      <w:r w:rsidRPr="005B26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26B0">
        <w:rPr>
          <w:rFonts w:ascii="Times New Roman" w:hAnsi="Times New Roman" w:cs="Times New Roman"/>
          <w:color w:val="000000"/>
          <w:sz w:val="24"/>
          <w:szCs w:val="24"/>
        </w:rPr>
        <w:t>ovog</w:t>
      </w:r>
      <w:proofErr w:type="spellEnd"/>
      <w:r w:rsidRPr="005B26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26B0">
        <w:rPr>
          <w:rFonts w:ascii="Times New Roman" w:hAnsi="Times New Roman" w:cs="Times New Roman"/>
          <w:color w:val="000000"/>
          <w:sz w:val="24"/>
          <w:szCs w:val="24"/>
        </w:rPr>
        <w:t>izvora</w:t>
      </w:r>
      <w:proofErr w:type="spellEnd"/>
      <w:r w:rsidRPr="005B26B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C2554" w:rsidRPr="005B26B0" w:rsidRDefault="00BC2554" w:rsidP="003A476B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20C9" w:rsidRPr="005B26B0" w:rsidRDefault="00B633FC" w:rsidP="008524C5">
      <w:pPr>
        <w:spacing w:after="0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5B26B0">
        <w:rPr>
          <w:rFonts w:ascii="Times New Roman" w:hAnsi="Times New Roman" w:cs="Times New Roman"/>
          <w:b/>
          <w:sz w:val="24"/>
          <w:szCs w:val="24"/>
        </w:rPr>
        <w:t>31 Vlastite prihode</w:t>
      </w:r>
      <w:r w:rsidRPr="005B26B0">
        <w:rPr>
          <w:rFonts w:ascii="Times New Roman" w:hAnsi="Times New Roman" w:cs="Times New Roman"/>
          <w:sz w:val="24"/>
          <w:szCs w:val="24"/>
        </w:rPr>
        <w:t xml:space="preserve">, skupina 661, čine prihodi ostvareni obavljanjem poslova na tržištu i u tržišnim uvjetima, (tečajevi trajne medicinske izobrazbe, dijagnostički postupci, izbori u znanstveno - nastavna zvanja, sudska medicinska vještačenja, konzultantske usluge te </w:t>
      </w:r>
    </w:p>
    <w:p w:rsidR="000D20C9" w:rsidRPr="005B26B0" w:rsidRDefault="00B633FC" w:rsidP="008524C5">
      <w:pPr>
        <w:spacing w:after="0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5B26B0">
        <w:rPr>
          <w:rFonts w:ascii="Times New Roman" w:hAnsi="Times New Roman" w:cs="Times New Roman"/>
          <w:sz w:val="24"/>
          <w:szCs w:val="24"/>
        </w:rPr>
        <w:t>iznajmljivanje prostora).</w:t>
      </w:r>
      <w:r w:rsidR="00BC2554" w:rsidRPr="005B26B0">
        <w:rPr>
          <w:rFonts w:ascii="Times New Roman" w:hAnsi="Times New Roman" w:cs="Times New Roman"/>
          <w:sz w:val="24"/>
          <w:szCs w:val="24"/>
        </w:rPr>
        <w:t xml:space="preserve"> </w:t>
      </w:r>
      <w:r w:rsidR="0081432C" w:rsidRPr="005B26B0">
        <w:rPr>
          <w:rFonts w:ascii="Times New Roman" w:hAnsi="Times New Roman" w:cs="Times New Roman"/>
          <w:sz w:val="24"/>
          <w:szCs w:val="24"/>
        </w:rPr>
        <w:t>Ovdje su uključeni i vlastiti projekti za tržište.</w:t>
      </w:r>
    </w:p>
    <w:p w:rsidR="000D20C9" w:rsidRPr="005B26B0" w:rsidRDefault="000D20C9" w:rsidP="000D20C9">
      <w:pPr>
        <w:spacing w:after="0"/>
        <w:ind w:left="38" w:right="14"/>
        <w:jc w:val="both"/>
        <w:rPr>
          <w:rFonts w:ascii="Times New Roman" w:hAnsi="Times New Roman" w:cs="Times New Roman"/>
          <w:sz w:val="24"/>
          <w:szCs w:val="24"/>
        </w:rPr>
      </w:pPr>
      <w:r w:rsidRPr="005B26B0">
        <w:rPr>
          <w:rFonts w:ascii="Times New Roman" w:hAnsi="Times New Roman" w:cs="Times New Roman"/>
          <w:sz w:val="24"/>
          <w:szCs w:val="24"/>
        </w:rPr>
        <w:t xml:space="preserve">Iz izvora </w:t>
      </w:r>
      <w:r w:rsidRPr="005B26B0">
        <w:rPr>
          <w:rFonts w:ascii="Times New Roman" w:hAnsi="Times New Roman" w:cs="Times New Roman"/>
          <w:b/>
          <w:sz w:val="24"/>
          <w:szCs w:val="24"/>
        </w:rPr>
        <w:t>31</w:t>
      </w:r>
      <w:r w:rsidRPr="005B26B0">
        <w:rPr>
          <w:rFonts w:ascii="Times New Roman" w:hAnsi="Times New Roman" w:cs="Times New Roman"/>
          <w:sz w:val="24"/>
          <w:szCs w:val="24"/>
        </w:rPr>
        <w:t xml:space="preserve"> se u razdoblju 2023-2025. godini planiraju ostvariti slijedeći iznosi u EUR:</w:t>
      </w:r>
    </w:p>
    <w:tbl>
      <w:tblPr>
        <w:tblW w:w="5220" w:type="dxa"/>
        <w:tblLook w:val="04A0" w:firstRow="1" w:lastRow="0" w:firstColumn="1" w:lastColumn="0" w:noHBand="0" w:noVBand="1"/>
      </w:tblPr>
      <w:tblGrid>
        <w:gridCol w:w="1720"/>
        <w:gridCol w:w="1780"/>
        <w:gridCol w:w="1720"/>
      </w:tblGrid>
      <w:tr w:rsidR="000D20C9" w:rsidRPr="005B26B0" w:rsidTr="000D20C9">
        <w:trPr>
          <w:trHeight w:val="300"/>
        </w:trPr>
        <w:tc>
          <w:tcPr>
            <w:tcW w:w="17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0D20C9" w:rsidRPr="005B26B0" w:rsidRDefault="000D20C9" w:rsidP="000D20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5B26B0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695.809</w:t>
            </w:r>
          </w:p>
        </w:tc>
        <w:tc>
          <w:tcPr>
            <w:tcW w:w="1780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0D20C9" w:rsidRPr="005B26B0" w:rsidRDefault="000D20C9" w:rsidP="000D20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5B26B0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300.290</w:t>
            </w:r>
          </w:p>
        </w:tc>
        <w:tc>
          <w:tcPr>
            <w:tcW w:w="1720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0D20C9" w:rsidRPr="005B26B0" w:rsidRDefault="000D20C9" w:rsidP="000D20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5B26B0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280.000</w:t>
            </w:r>
          </w:p>
        </w:tc>
      </w:tr>
    </w:tbl>
    <w:p w:rsidR="00034226" w:rsidRPr="005B26B0" w:rsidRDefault="00034226" w:rsidP="000B134B">
      <w:pPr>
        <w:spacing w:after="315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5B26B0">
        <w:rPr>
          <w:rFonts w:ascii="Times New Roman" w:hAnsi="Times New Roman" w:cs="Times New Roman"/>
          <w:sz w:val="24"/>
          <w:szCs w:val="24"/>
        </w:rPr>
        <w:t>Značajno veći planirani iznos u 2023. godini se odnos</w:t>
      </w:r>
      <w:r w:rsidR="0081432C" w:rsidRPr="005B26B0">
        <w:rPr>
          <w:rFonts w:ascii="Times New Roman" w:hAnsi="Times New Roman" w:cs="Times New Roman"/>
          <w:sz w:val="24"/>
          <w:szCs w:val="24"/>
        </w:rPr>
        <w:t>i</w:t>
      </w:r>
      <w:r w:rsidRPr="005B26B0">
        <w:rPr>
          <w:rFonts w:ascii="Times New Roman" w:hAnsi="Times New Roman" w:cs="Times New Roman"/>
          <w:sz w:val="24"/>
          <w:szCs w:val="24"/>
        </w:rPr>
        <w:t xml:space="preserve"> na očekivane prihode od dva vlastita projekta za tržište (</w:t>
      </w:r>
      <w:r w:rsidR="002C75E1" w:rsidRPr="005B26B0">
        <w:rPr>
          <w:rFonts w:ascii="Times New Roman" w:hAnsi="Times New Roman" w:cs="Times New Roman"/>
          <w:sz w:val="24"/>
          <w:szCs w:val="24"/>
        </w:rPr>
        <w:t xml:space="preserve">znanstveno istraživačke aktivnosti </w:t>
      </w:r>
      <w:r w:rsidRPr="005B26B0">
        <w:rPr>
          <w:rFonts w:ascii="Times New Roman" w:hAnsi="Times New Roman" w:cs="Times New Roman"/>
          <w:sz w:val="24"/>
          <w:szCs w:val="24"/>
        </w:rPr>
        <w:t xml:space="preserve">za tvrtke </w:t>
      </w:r>
      <w:proofErr w:type="spellStart"/>
      <w:r w:rsidRPr="005B26B0">
        <w:rPr>
          <w:rFonts w:ascii="Times New Roman" w:hAnsi="Times New Roman" w:cs="Times New Roman"/>
          <w:sz w:val="24"/>
          <w:szCs w:val="24"/>
        </w:rPr>
        <w:t>Lexaria</w:t>
      </w:r>
      <w:proofErr w:type="spellEnd"/>
      <w:r w:rsidRPr="005B26B0">
        <w:rPr>
          <w:rFonts w:ascii="Times New Roman" w:hAnsi="Times New Roman" w:cs="Times New Roman"/>
          <w:sz w:val="24"/>
          <w:szCs w:val="24"/>
        </w:rPr>
        <w:t xml:space="preserve"> iz </w:t>
      </w:r>
      <w:r w:rsidR="002C75E1" w:rsidRPr="005B26B0">
        <w:rPr>
          <w:rFonts w:ascii="Times New Roman" w:hAnsi="Times New Roman" w:cs="Times New Roman"/>
          <w:sz w:val="24"/>
          <w:szCs w:val="24"/>
        </w:rPr>
        <w:t>K</w:t>
      </w:r>
      <w:r w:rsidRPr="005B26B0">
        <w:rPr>
          <w:rFonts w:ascii="Times New Roman" w:hAnsi="Times New Roman" w:cs="Times New Roman"/>
          <w:sz w:val="24"/>
          <w:szCs w:val="24"/>
        </w:rPr>
        <w:t>anade te Roche iz Švicarske)</w:t>
      </w:r>
      <w:r w:rsidR="002C75E1" w:rsidRPr="005B26B0">
        <w:rPr>
          <w:rFonts w:ascii="Times New Roman" w:hAnsi="Times New Roman" w:cs="Times New Roman"/>
          <w:sz w:val="24"/>
          <w:szCs w:val="24"/>
        </w:rPr>
        <w:t>.</w:t>
      </w:r>
    </w:p>
    <w:p w:rsidR="00B633FC" w:rsidRPr="005B26B0" w:rsidRDefault="00B633FC" w:rsidP="000B134B">
      <w:pPr>
        <w:spacing w:after="0"/>
        <w:ind w:left="38" w:right="14"/>
        <w:jc w:val="both"/>
        <w:rPr>
          <w:rFonts w:ascii="Times New Roman" w:hAnsi="Times New Roman" w:cs="Times New Roman"/>
          <w:sz w:val="24"/>
          <w:szCs w:val="24"/>
        </w:rPr>
      </w:pPr>
      <w:r w:rsidRPr="005B26B0">
        <w:rPr>
          <w:rFonts w:ascii="Times New Roman" w:hAnsi="Times New Roman" w:cs="Times New Roman"/>
          <w:b/>
          <w:sz w:val="24"/>
          <w:szCs w:val="24"/>
        </w:rPr>
        <w:t>43 Ostali prihodi za posebne namjene</w:t>
      </w:r>
      <w:r w:rsidRPr="005B26B0">
        <w:rPr>
          <w:rFonts w:ascii="Times New Roman" w:hAnsi="Times New Roman" w:cs="Times New Roman"/>
          <w:sz w:val="24"/>
          <w:szCs w:val="24"/>
        </w:rPr>
        <w:t>, skupina 652, odnose se na prihode od školarina, upisnina i sl.</w:t>
      </w:r>
      <w:r w:rsidR="002C75E1" w:rsidRPr="005B26B0">
        <w:rPr>
          <w:rFonts w:ascii="Times New Roman" w:hAnsi="Times New Roman" w:cs="Times New Roman"/>
          <w:sz w:val="24"/>
          <w:szCs w:val="24"/>
        </w:rPr>
        <w:t xml:space="preserve"> Iz ovog izvora se u razdoblju 2023-2025. god</w:t>
      </w:r>
      <w:r w:rsidR="000465B7" w:rsidRPr="005B26B0">
        <w:rPr>
          <w:rFonts w:ascii="Times New Roman" w:hAnsi="Times New Roman" w:cs="Times New Roman"/>
          <w:sz w:val="24"/>
          <w:szCs w:val="24"/>
        </w:rPr>
        <w:t>i</w:t>
      </w:r>
      <w:r w:rsidR="002C75E1" w:rsidRPr="005B26B0">
        <w:rPr>
          <w:rFonts w:ascii="Times New Roman" w:hAnsi="Times New Roman" w:cs="Times New Roman"/>
          <w:sz w:val="24"/>
          <w:szCs w:val="24"/>
        </w:rPr>
        <w:t>ni planiraju ostvariti slijedeći iznosi u EUR:</w:t>
      </w:r>
    </w:p>
    <w:tbl>
      <w:tblPr>
        <w:tblW w:w="5220" w:type="dxa"/>
        <w:tblLook w:val="04A0" w:firstRow="1" w:lastRow="0" w:firstColumn="1" w:lastColumn="0" w:noHBand="0" w:noVBand="1"/>
      </w:tblPr>
      <w:tblGrid>
        <w:gridCol w:w="1720"/>
        <w:gridCol w:w="1780"/>
        <w:gridCol w:w="1720"/>
      </w:tblGrid>
      <w:tr w:rsidR="002C75E1" w:rsidRPr="005B26B0" w:rsidTr="002C75E1">
        <w:trPr>
          <w:trHeight w:val="300"/>
        </w:trPr>
        <w:tc>
          <w:tcPr>
            <w:tcW w:w="17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2C75E1" w:rsidRPr="005B26B0" w:rsidRDefault="002C75E1" w:rsidP="000B134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5B26B0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3.148.000</w:t>
            </w:r>
          </w:p>
        </w:tc>
        <w:tc>
          <w:tcPr>
            <w:tcW w:w="1780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2C75E1" w:rsidRPr="005B26B0" w:rsidRDefault="002C75E1" w:rsidP="000B134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5B26B0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3.277.000</w:t>
            </w:r>
          </w:p>
        </w:tc>
        <w:tc>
          <w:tcPr>
            <w:tcW w:w="1720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2C75E1" w:rsidRPr="005B26B0" w:rsidRDefault="002C75E1" w:rsidP="000B134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5B26B0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3.383.000</w:t>
            </w:r>
          </w:p>
        </w:tc>
      </w:tr>
    </w:tbl>
    <w:p w:rsidR="002C75E1" w:rsidRPr="005B26B0" w:rsidRDefault="002C75E1" w:rsidP="000B134B">
      <w:pPr>
        <w:spacing w:after="0"/>
        <w:ind w:left="38" w:right="14"/>
        <w:jc w:val="both"/>
        <w:rPr>
          <w:rFonts w:ascii="Times New Roman" w:hAnsi="Times New Roman" w:cs="Times New Roman"/>
          <w:sz w:val="24"/>
          <w:szCs w:val="24"/>
        </w:rPr>
      </w:pPr>
      <w:r w:rsidRPr="005B26B0">
        <w:rPr>
          <w:rFonts w:ascii="Times New Roman" w:hAnsi="Times New Roman" w:cs="Times New Roman"/>
          <w:sz w:val="24"/>
          <w:szCs w:val="24"/>
        </w:rPr>
        <w:t>Najveći iznos se planira ostvariti od školarina studija Medicina na engleskom</w:t>
      </w:r>
      <w:r w:rsidR="0081432C" w:rsidRPr="005B26B0">
        <w:rPr>
          <w:rFonts w:ascii="Times New Roman" w:hAnsi="Times New Roman" w:cs="Times New Roman"/>
          <w:sz w:val="24"/>
          <w:szCs w:val="24"/>
        </w:rPr>
        <w:t xml:space="preserve"> jeziku</w:t>
      </w:r>
      <w:r w:rsidRPr="005B26B0">
        <w:rPr>
          <w:rFonts w:ascii="Times New Roman" w:hAnsi="Times New Roman" w:cs="Times New Roman"/>
          <w:sz w:val="24"/>
          <w:szCs w:val="24"/>
        </w:rPr>
        <w:t xml:space="preserve"> (2.717.600 EUR). Ostalo se odnosi na prihode od poslijediplomskih studija (280</w:t>
      </w:r>
      <w:r w:rsidR="00D57ED6" w:rsidRPr="005B2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ED6" w:rsidRPr="005B26B0">
        <w:rPr>
          <w:rFonts w:ascii="Times New Roman" w:hAnsi="Times New Roman" w:cs="Times New Roman"/>
          <w:sz w:val="24"/>
          <w:szCs w:val="24"/>
        </w:rPr>
        <w:t>tis</w:t>
      </w:r>
      <w:proofErr w:type="spellEnd"/>
      <w:r w:rsidRPr="005B26B0">
        <w:rPr>
          <w:rFonts w:ascii="Times New Roman" w:hAnsi="Times New Roman" w:cs="Times New Roman"/>
          <w:sz w:val="24"/>
          <w:szCs w:val="24"/>
        </w:rPr>
        <w:t xml:space="preserve"> EUR), te na prihode od školarina od diplomskih studija Medicine, </w:t>
      </w:r>
      <w:r w:rsidR="00D57ED6" w:rsidRPr="005B26B0">
        <w:rPr>
          <w:rFonts w:ascii="Times New Roman" w:hAnsi="Times New Roman" w:cs="Times New Roman"/>
          <w:sz w:val="24"/>
          <w:szCs w:val="24"/>
        </w:rPr>
        <w:t>D</w:t>
      </w:r>
      <w:r w:rsidRPr="005B26B0">
        <w:rPr>
          <w:rFonts w:ascii="Times New Roman" w:hAnsi="Times New Roman" w:cs="Times New Roman"/>
          <w:sz w:val="24"/>
          <w:szCs w:val="24"/>
        </w:rPr>
        <w:t xml:space="preserve">entalne medicine i Farmacije (132 </w:t>
      </w:r>
      <w:proofErr w:type="spellStart"/>
      <w:r w:rsidRPr="005B26B0">
        <w:rPr>
          <w:rFonts w:ascii="Times New Roman" w:hAnsi="Times New Roman" w:cs="Times New Roman"/>
          <w:sz w:val="24"/>
          <w:szCs w:val="24"/>
        </w:rPr>
        <w:t>tis</w:t>
      </w:r>
      <w:proofErr w:type="spellEnd"/>
      <w:r w:rsidRPr="005B26B0">
        <w:rPr>
          <w:rFonts w:ascii="Times New Roman" w:hAnsi="Times New Roman" w:cs="Times New Roman"/>
          <w:sz w:val="24"/>
          <w:szCs w:val="24"/>
        </w:rPr>
        <w:t xml:space="preserve"> EUR)</w:t>
      </w:r>
      <w:r w:rsidR="00D57ED6" w:rsidRPr="005B26B0">
        <w:rPr>
          <w:rFonts w:ascii="Times New Roman" w:hAnsi="Times New Roman" w:cs="Times New Roman"/>
          <w:sz w:val="24"/>
          <w:szCs w:val="24"/>
        </w:rPr>
        <w:t>.</w:t>
      </w:r>
    </w:p>
    <w:p w:rsidR="00D57ED6" w:rsidRPr="005B26B0" w:rsidRDefault="00D57ED6" w:rsidP="000B134B">
      <w:pPr>
        <w:spacing w:after="0"/>
        <w:ind w:left="38" w:right="14"/>
        <w:jc w:val="both"/>
        <w:rPr>
          <w:rFonts w:ascii="Times New Roman" w:hAnsi="Times New Roman" w:cs="Times New Roman"/>
          <w:sz w:val="24"/>
          <w:szCs w:val="24"/>
        </w:rPr>
      </w:pPr>
      <w:r w:rsidRPr="005B26B0">
        <w:rPr>
          <w:rFonts w:ascii="Times New Roman" w:hAnsi="Times New Roman" w:cs="Times New Roman"/>
          <w:sz w:val="24"/>
          <w:szCs w:val="24"/>
        </w:rPr>
        <w:t>Ostatak se odnosi na upisnine.</w:t>
      </w:r>
    </w:p>
    <w:p w:rsidR="000465B7" w:rsidRPr="005B26B0" w:rsidRDefault="000465B7" w:rsidP="000B134B">
      <w:pPr>
        <w:spacing w:after="0"/>
        <w:ind w:left="38" w:right="14"/>
        <w:jc w:val="both"/>
        <w:rPr>
          <w:rFonts w:ascii="Times New Roman" w:hAnsi="Times New Roman" w:cs="Times New Roman"/>
          <w:sz w:val="24"/>
          <w:szCs w:val="24"/>
        </w:rPr>
      </w:pPr>
    </w:p>
    <w:p w:rsidR="00B633FC" w:rsidRPr="005B26B0" w:rsidRDefault="00B633FC" w:rsidP="000B134B">
      <w:pPr>
        <w:spacing w:after="0"/>
        <w:ind w:left="47" w:right="14"/>
        <w:jc w:val="both"/>
        <w:rPr>
          <w:rFonts w:ascii="Times New Roman" w:hAnsi="Times New Roman" w:cs="Times New Roman"/>
          <w:sz w:val="24"/>
          <w:szCs w:val="24"/>
        </w:rPr>
      </w:pPr>
      <w:r w:rsidRPr="005B26B0">
        <w:rPr>
          <w:rFonts w:ascii="Times New Roman" w:hAnsi="Times New Roman" w:cs="Times New Roman"/>
          <w:b/>
          <w:sz w:val="24"/>
          <w:szCs w:val="24"/>
        </w:rPr>
        <w:t>5 Pomoći</w:t>
      </w:r>
      <w:r w:rsidRPr="005B26B0">
        <w:rPr>
          <w:rFonts w:ascii="Times New Roman" w:hAnsi="Times New Roman" w:cs="Times New Roman"/>
          <w:sz w:val="24"/>
          <w:szCs w:val="24"/>
        </w:rPr>
        <w:t xml:space="preserve"> čine sredstva iz Europskog fonda za regionalni razvoj, sredstva Europske unije za istraživanje i inovacije, sredstva ESF-a, sredstva Hrvatske zaklade za znanost, sredstva Grada Splita za poticanje znanstvene izvrsnosti,  pomoći MZO-a i Županije.</w:t>
      </w:r>
    </w:p>
    <w:p w:rsidR="000465B7" w:rsidRPr="005B26B0" w:rsidRDefault="000465B7" w:rsidP="000B134B">
      <w:pPr>
        <w:spacing w:after="0"/>
        <w:ind w:left="38" w:right="14"/>
        <w:jc w:val="both"/>
        <w:rPr>
          <w:rFonts w:ascii="Times New Roman" w:hAnsi="Times New Roman" w:cs="Times New Roman"/>
          <w:sz w:val="24"/>
          <w:szCs w:val="24"/>
        </w:rPr>
      </w:pPr>
      <w:r w:rsidRPr="005B26B0">
        <w:rPr>
          <w:rFonts w:ascii="Times New Roman" w:hAnsi="Times New Roman" w:cs="Times New Roman"/>
          <w:sz w:val="24"/>
          <w:szCs w:val="24"/>
        </w:rPr>
        <w:t xml:space="preserve">Iz izvora </w:t>
      </w:r>
      <w:r w:rsidRPr="005B26B0">
        <w:rPr>
          <w:rFonts w:ascii="Times New Roman" w:hAnsi="Times New Roman" w:cs="Times New Roman"/>
          <w:b/>
          <w:sz w:val="24"/>
          <w:szCs w:val="24"/>
        </w:rPr>
        <w:t>51</w:t>
      </w:r>
      <w:r w:rsidRPr="005B26B0">
        <w:rPr>
          <w:rFonts w:ascii="Times New Roman" w:hAnsi="Times New Roman" w:cs="Times New Roman"/>
          <w:sz w:val="24"/>
          <w:szCs w:val="24"/>
        </w:rPr>
        <w:t xml:space="preserve"> se u razdoblju 2023-2025. godini planiraju ostvariti slijedeći iznosi u EUR:</w:t>
      </w:r>
    </w:p>
    <w:p w:rsidR="000465B7" w:rsidRPr="005B26B0" w:rsidRDefault="000465B7" w:rsidP="000B134B">
      <w:pPr>
        <w:spacing w:after="0"/>
        <w:ind w:left="38" w:right="1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220" w:type="dxa"/>
        <w:tblLook w:val="04A0" w:firstRow="1" w:lastRow="0" w:firstColumn="1" w:lastColumn="0" w:noHBand="0" w:noVBand="1"/>
      </w:tblPr>
      <w:tblGrid>
        <w:gridCol w:w="1720"/>
        <w:gridCol w:w="1780"/>
        <w:gridCol w:w="1720"/>
      </w:tblGrid>
      <w:tr w:rsidR="000465B7" w:rsidRPr="005B26B0" w:rsidTr="000465B7">
        <w:trPr>
          <w:trHeight w:val="300"/>
        </w:trPr>
        <w:tc>
          <w:tcPr>
            <w:tcW w:w="17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0465B7" w:rsidRPr="005B26B0" w:rsidRDefault="000465B7" w:rsidP="000B134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5B26B0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165.972</w:t>
            </w:r>
          </w:p>
        </w:tc>
        <w:tc>
          <w:tcPr>
            <w:tcW w:w="1780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0465B7" w:rsidRPr="005B26B0" w:rsidRDefault="000465B7" w:rsidP="000B134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5B26B0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125.169</w:t>
            </w:r>
          </w:p>
        </w:tc>
        <w:tc>
          <w:tcPr>
            <w:tcW w:w="1720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0465B7" w:rsidRPr="005B26B0" w:rsidRDefault="000465B7" w:rsidP="000B134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5B26B0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119.361</w:t>
            </w:r>
          </w:p>
        </w:tc>
      </w:tr>
    </w:tbl>
    <w:p w:rsidR="000465B7" w:rsidRPr="005B26B0" w:rsidRDefault="000465B7" w:rsidP="000B134B">
      <w:pPr>
        <w:spacing w:after="290"/>
        <w:ind w:left="38" w:right="14"/>
        <w:jc w:val="both"/>
        <w:rPr>
          <w:rFonts w:ascii="Times New Roman" w:hAnsi="Times New Roman" w:cs="Times New Roman"/>
          <w:sz w:val="24"/>
          <w:szCs w:val="24"/>
        </w:rPr>
      </w:pPr>
      <w:r w:rsidRPr="005B26B0">
        <w:rPr>
          <w:rFonts w:ascii="Times New Roman" w:hAnsi="Times New Roman" w:cs="Times New Roman"/>
          <w:sz w:val="24"/>
          <w:szCs w:val="24"/>
        </w:rPr>
        <w:t xml:space="preserve">Planirana sredstva se odnose na prihode od EU projekata: SI4Care, </w:t>
      </w:r>
      <w:proofErr w:type="spellStart"/>
      <w:r w:rsidRPr="005B26B0">
        <w:rPr>
          <w:rFonts w:ascii="Times New Roman" w:hAnsi="Times New Roman" w:cs="Times New Roman"/>
          <w:sz w:val="24"/>
          <w:szCs w:val="24"/>
        </w:rPr>
        <w:t>iRECS</w:t>
      </w:r>
      <w:proofErr w:type="spellEnd"/>
      <w:r w:rsidRPr="005B26B0">
        <w:rPr>
          <w:rFonts w:ascii="Times New Roman" w:hAnsi="Times New Roman" w:cs="Times New Roman"/>
          <w:sz w:val="24"/>
          <w:szCs w:val="24"/>
        </w:rPr>
        <w:t xml:space="preserve">, Youth </w:t>
      </w:r>
      <w:proofErr w:type="spellStart"/>
      <w:r w:rsidRPr="005B26B0">
        <w:rPr>
          <w:rFonts w:ascii="Times New Roman" w:hAnsi="Times New Roman" w:cs="Times New Roman"/>
          <w:sz w:val="24"/>
          <w:szCs w:val="24"/>
        </w:rPr>
        <w:t>Games</w:t>
      </w:r>
      <w:proofErr w:type="spellEnd"/>
      <w:r w:rsidRPr="005B26B0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5B26B0">
        <w:rPr>
          <w:rFonts w:ascii="Times New Roman" w:hAnsi="Times New Roman" w:cs="Times New Roman"/>
          <w:sz w:val="24"/>
          <w:szCs w:val="24"/>
        </w:rPr>
        <w:t>Sleep</w:t>
      </w:r>
      <w:proofErr w:type="spellEnd"/>
      <w:r w:rsidRPr="005B2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6B0">
        <w:rPr>
          <w:rFonts w:ascii="Times New Roman" w:hAnsi="Times New Roman" w:cs="Times New Roman"/>
          <w:sz w:val="24"/>
          <w:szCs w:val="24"/>
        </w:rPr>
        <w:t>Revolution</w:t>
      </w:r>
      <w:proofErr w:type="spellEnd"/>
      <w:r w:rsidR="00E4562C" w:rsidRPr="005B26B0">
        <w:rPr>
          <w:rFonts w:ascii="Times New Roman" w:hAnsi="Times New Roman" w:cs="Times New Roman"/>
          <w:sz w:val="24"/>
          <w:szCs w:val="24"/>
        </w:rPr>
        <w:t>; navedeni iznosi su definirani temeljem proračuna navedenih projekata.</w:t>
      </w:r>
    </w:p>
    <w:p w:rsidR="000465B7" w:rsidRPr="005B26B0" w:rsidRDefault="000465B7" w:rsidP="000B134B">
      <w:pPr>
        <w:spacing w:after="0"/>
        <w:ind w:left="38" w:right="14"/>
        <w:jc w:val="both"/>
        <w:rPr>
          <w:rFonts w:ascii="Times New Roman" w:hAnsi="Times New Roman" w:cs="Times New Roman"/>
          <w:sz w:val="24"/>
          <w:szCs w:val="24"/>
        </w:rPr>
      </w:pPr>
      <w:r w:rsidRPr="005B26B0">
        <w:rPr>
          <w:rFonts w:ascii="Times New Roman" w:hAnsi="Times New Roman" w:cs="Times New Roman"/>
          <w:sz w:val="24"/>
          <w:szCs w:val="24"/>
        </w:rPr>
        <w:t xml:space="preserve">Iz izvora </w:t>
      </w:r>
      <w:r w:rsidRPr="005B26B0">
        <w:rPr>
          <w:rFonts w:ascii="Times New Roman" w:hAnsi="Times New Roman" w:cs="Times New Roman"/>
          <w:b/>
          <w:sz w:val="24"/>
          <w:szCs w:val="24"/>
        </w:rPr>
        <w:t>52</w:t>
      </w:r>
      <w:r w:rsidRPr="005B26B0">
        <w:rPr>
          <w:rFonts w:ascii="Times New Roman" w:hAnsi="Times New Roman" w:cs="Times New Roman"/>
          <w:sz w:val="24"/>
          <w:szCs w:val="24"/>
        </w:rPr>
        <w:t xml:space="preserve"> se u razdoblju 2023-2025. godini planiraju ostvariti slijedeći iznosi u EUR:</w:t>
      </w:r>
    </w:p>
    <w:p w:rsidR="0016712B" w:rsidRPr="005B26B0" w:rsidRDefault="0016712B" w:rsidP="000B134B">
      <w:pPr>
        <w:spacing w:after="0"/>
        <w:ind w:left="38" w:right="1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220" w:type="dxa"/>
        <w:tblLook w:val="04A0" w:firstRow="1" w:lastRow="0" w:firstColumn="1" w:lastColumn="0" w:noHBand="0" w:noVBand="1"/>
      </w:tblPr>
      <w:tblGrid>
        <w:gridCol w:w="1720"/>
        <w:gridCol w:w="1780"/>
        <w:gridCol w:w="1720"/>
      </w:tblGrid>
      <w:tr w:rsidR="00E4562C" w:rsidRPr="005B26B0" w:rsidTr="00F7685D">
        <w:trPr>
          <w:trHeight w:val="300"/>
        </w:trPr>
        <w:tc>
          <w:tcPr>
            <w:tcW w:w="17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E4562C" w:rsidRPr="005B26B0" w:rsidRDefault="00E4562C" w:rsidP="000B134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5B26B0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1.236.272</w:t>
            </w:r>
          </w:p>
        </w:tc>
        <w:tc>
          <w:tcPr>
            <w:tcW w:w="1780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E4562C" w:rsidRPr="005B26B0" w:rsidRDefault="00E4562C" w:rsidP="000B134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5B26B0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367.577</w:t>
            </w:r>
          </w:p>
        </w:tc>
        <w:tc>
          <w:tcPr>
            <w:tcW w:w="1720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E4562C" w:rsidRPr="005B26B0" w:rsidRDefault="00E4562C" w:rsidP="000B134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5B26B0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156.441</w:t>
            </w:r>
          </w:p>
        </w:tc>
      </w:tr>
    </w:tbl>
    <w:p w:rsidR="000465B7" w:rsidRPr="005B26B0" w:rsidRDefault="0016712B" w:rsidP="000B134B">
      <w:pPr>
        <w:spacing w:after="290"/>
        <w:ind w:left="38" w:right="14"/>
        <w:jc w:val="both"/>
        <w:rPr>
          <w:rFonts w:ascii="Times New Roman" w:hAnsi="Times New Roman" w:cs="Times New Roman"/>
          <w:sz w:val="24"/>
          <w:szCs w:val="24"/>
        </w:rPr>
      </w:pPr>
      <w:r w:rsidRPr="005B26B0">
        <w:rPr>
          <w:rFonts w:ascii="Times New Roman" w:hAnsi="Times New Roman" w:cs="Times New Roman"/>
          <w:sz w:val="24"/>
          <w:szCs w:val="24"/>
        </w:rPr>
        <w:t>P</w:t>
      </w:r>
      <w:r w:rsidR="004F78E8" w:rsidRPr="005B26B0">
        <w:rPr>
          <w:rFonts w:ascii="Times New Roman" w:hAnsi="Times New Roman" w:cs="Times New Roman"/>
          <w:sz w:val="24"/>
          <w:szCs w:val="24"/>
        </w:rPr>
        <w:t>l</w:t>
      </w:r>
      <w:r w:rsidRPr="005B26B0">
        <w:rPr>
          <w:rFonts w:ascii="Times New Roman" w:hAnsi="Times New Roman" w:cs="Times New Roman"/>
          <w:sz w:val="24"/>
          <w:szCs w:val="24"/>
        </w:rPr>
        <w:t xml:space="preserve">anirana sredstva se u najvećem dijelu odnose na </w:t>
      </w:r>
      <w:r w:rsidR="00310E1F" w:rsidRPr="005B26B0">
        <w:rPr>
          <w:rFonts w:ascii="Times New Roman" w:hAnsi="Times New Roman" w:cs="Times New Roman"/>
          <w:sz w:val="24"/>
          <w:szCs w:val="24"/>
        </w:rPr>
        <w:t xml:space="preserve">EU </w:t>
      </w:r>
      <w:r w:rsidR="004F78E8" w:rsidRPr="005B26B0">
        <w:rPr>
          <w:rFonts w:ascii="Times New Roman" w:hAnsi="Times New Roman" w:cs="Times New Roman"/>
          <w:sz w:val="24"/>
          <w:szCs w:val="24"/>
        </w:rPr>
        <w:t xml:space="preserve">projekt Medicinska plus (nositelj Srednja medicina škola iz Zadra) te </w:t>
      </w:r>
      <w:r w:rsidR="00662506" w:rsidRPr="005B26B0">
        <w:rPr>
          <w:rFonts w:ascii="Times New Roman" w:hAnsi="Times New Roman" w:cs="Times New Roman"/>
          <w:sz w:val="24"/>
          <w:szCs w:val="24"/>
        </w:rPr>
        <w:t xml:space="preserve">na </w:t>
      </w:r>
      <w:r w:rsidRPr="005B26B0">
        <w:rPr>
          <w:rFonts w:ascii="Times New Roman" w:hAnsi="Times New Roman" w:cs="Times New Roman"/>
          <w:sz w:val="24"/>
          <w:szCs w:val="24"/>
        </w:rPr>
        <w:t xml:space="preserve">sredstva iz Hrvatske zaklade za znanost za aktivne HRZZ projekte </w:t>
      </w:r>
      <w:r w:rsidR="004F78E8" w:rsidRPr="005B26B0">
        <w:rPr>
          <w:rFonts w:ascii="Times New Roman" w:hAnsi="Times New Roman" w:cs="Times New Roman"/>
          <w:sz w:val="24"/>
          <w:szCs w:val="24"/>
        </w:rPr>
        <w:t>kao i</w:t>
      </w:r>
      <w:r w:rsidRPr="005B26B0">
        <w:rPr>
          <w:rFonts w:ascii="Times New Roman" w:hAnsi="Times New Roman" w:cs="Times New Roman"/>
          <w:sz w:val="24"/>
          <w:szCs w:val="24"/>
        </w:rPr>
        <w:t xml:space="preserve"> za plaće </w:t>
      </w:r>
      <w:proofErr w:type="spellStart"/>
      <w:r w:rsidRPr="005B26B0">
        <w:rPr>
          <w:rFonts w:ascii="Times New Roman" w:hAnsi="Times New Roman" w:cs="Times New Roman"/>
          <w:sz w:val="24"/>
          <w:szCs w:val="24"/>
        </w:rPr>
        <w:t>doktoranada</w:t>
      </w:r>
      <w:proofErr w:type="spellEnd"/>
      <w:r w:rsidRPr="005B26B0">
        <w:rPr>
          <w:rFonts w:ascii="Times New Roman" w:hAnsi="Times New Roman" w:cs="Times New Roman"/>
          <w:sz w:val="24"/>
          <w:szCs w:val="24"/>
        </w:rPr>
        <w:t xml:space="preserve">. Ostalo se odnosi na </w:t>
      </w:r>
      <w:r w:rsidR="004F78E8" w:rsidRPr="005B26B0">
        <w:rPr>
          <w:rFonts w:ascii="Times New Roman" w:hAnsi="Times New Roman" w:cs="Times New Roman"/>
          <w:sz w:val="24"/>
          <w:szCs w:val="24"/>
        </w:rPr>
        <w:t>projekt</w:t>
      </w:r>
      <w:r w:rsidRPr="005B26B0">
        <w:rPr>
          <w:rFonts w:ascii="Times New Roman" w:hAnsi="Times New Roman" w:cs="Times New Roman"/>
          <w:sz w:val="24"/>
          <w:szCs w:val="24"/>
        </w:rPr>
        <w:t xml:space="preserve"> </w:t>
      </w:r>
      <w:r w:rsidR="004F78E8" w:rsidRPr="005B26B0">
        <w:rPr>
          <w:rFonts w:ascii="Times New Roman" w:hAnsi="Times New Roman" w:cs="Times New Roman"/>
          <w:sz w:val="24"/>
          <w:szCs w:val="24"/>
        </w:rPr>
        <w:t>na kojem smo partneri</w:t>
      </w:r>
      <w:r w:rsidRPr="005B26B0">
        <w:rPr>
          <w:rFonts w:ascii="Times New Roman" w:hAnsi="Times New Roman" w:cs="Times New Roman"/>
          <w:sz w:val="24"/>
          <w:szCs w:val="24"/>
        </w:rPr>
        <w:t xml:space="preserve"> </w:t>
      </w:r>
      <w:r w:rsidR="004F78E8" w:rsidRPr="005B26B0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Pr="005B26B0">
        <w:rPr>
          <w:rFonts w:ascii="Times New Roman" w:hAnsi="Times New Roman" w:cs="Times New Roman"/>
          <w:sz w:val="24"/>
          <w:szCs w:val="24"/>
        </w:rPr>
        <w:t>ZCIPM)</w:t>
      </w:r>
      <w:r w:rsidR="004F78E8" w:rsidRPr="005B26B0">
        <w:rPr>
          <w:rFonts w:ascii="Times New Roman" w:hAnsi="Times New Roman" w:cs="Times New Roman"/>
          <w:sz w:val="24"/>
          <w:szCs w:val="24"/>
        </w:rPr>
        <w:t xml:space="preserve"> te </w:t>
      </w:r>
      <w:r w:rsidR="00662506" w:rsidRPr="005B26B0">
        <w:rPr>
          <w:rFonts w:ascii="Times New Roman" w:hAnsi="Times New Roman" w:cs="Times New Roman"/>
          <w:sz w:val="24"/>
          <w:szCs w:val="24"/>
        </w:rPr>
        <w:t xml:space="preserve">za koji </w:t>
      </w:r>
      <w:r w:rsidR="004F78E8" w:rsidRPr="005B26B0">
        <w:rPr>
          <w:rFonts w:ascii="Times New Roman" w:hAnsi="Times New Roman" w:cs="Times New Roman"/>
          <w:sz w:val="24"/>
          <w:szCs w:val="24"/>
        </w:rPr>
        <w:t>nam prihode uplaćuje Sveučilište u Osijeku</w:t>
      </w:r>
      <w:r w:rsidR="00662506" w:rsidRPr="005B26B0">
        <w:rPr>
          <w:rFonts w:ascii="Times New Roman" w:hAnsi="Times New Roman" w:cs="Times New Roman"/>
          <w:sz w:val="24"/>
          <w:szCs w:val="24"/>
        </w:rPr>
        <w:t>;</w:t>
      </w:r>
      <w:r w:rsidR="0081432C" w:rsidRPr="005B26B0">
        <w:rPr>
          <w:rFonts w:ascii="Times New Roman" w:hAnsi="Times New Roman" w:cs="Times New Roman"/>
          <w:sz w:val="24"/>
          <w:szCs w:val="24"/>
        </w:rPr>
        <w:t xml:space="preserve"> </w:t>
      </w:r>
      <w:r w:rsidR="000B134B" w:rsidRPr="005B26B0">
        <w:rPr>
          <w:rFonts w:ascii="Times New Roman" w:hAnsi="Times New Roman" w:cs="Times New Roman"/>
          <w:sz w:val="24"/>
          <w:szCs w:val="24"/>
        </w:rPr>
        <w:t xml:space="preserve">na </w:t>
      </w:r>
      <w:r w:rsidR="004F78E8" w:rsidRPr="005B26B0">
        <w:rPr>
          <w:rFonts w:ascii="Times New Roman" w:hAnsi="Times New Roman" w:cs="Times New Roman"/>
          <w:sz w:val="24"/>
          <w:szCs w:val="24"/>
        </w:rPr>
        <w:t xml:space="preserve">prihode od Sveučilišta u Splitu (nastava u Mostaru te </w:t>
      </w:r>
      <w:proofErr w:type="spellStart"/>
      <w:r w:rsidR="004F78E8" w:rsidRPr="005B26B0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="004F78E8" w:rsidRPr="005B26B0">
        <w:rPr>
          <w:rFonts w:ascii="Times New Roman" w:hAnsi="Times New Roman" w:cs="Times New Roman"/>
          <w:sz w:val="24"/>
          <w:szCs w:val="24"/>
        </w:rPr>
        <w:t>+ projekt</w:t>
      </w:r>
      <w:r w:rsidR="00662506" w:rsidRPr="005B26B0">
        <w:rPr>
          <w:rFonts w:ascii="Times New Roman" w:hAnsi="Times New Roman" w:cs="Times New Roman"/>
          <w:sz w:val="24"/>
          <w:szCs w:val="24"/>
        </w:rPr>
        <w:t>i</w:t>
      </w:r>
      <w:r w:rsidR="004F78E8" w:rsidRPr="005B26B0">
        <w:rPr>
          <w:rFonts w:ascii="Times New Roman" w:hAnsi="Times New Roman" w:cs="Times New Roman"/>
          <w:sz w:val="24"/>
          <w:szCs w:val="24"/>
        </w:rPr>
        <w:t>)</w:t>
      </w:r>
      <w:r w:rsidR="0081432C" w:rsidRPr="005B26B0">
        <w:rPr>
          <w:rFonts w:ascii="Times New Roman" w:hAnsi="Times New Roman" w:cs="Times New Roman"/>
          <w:sz w:val="24"/>
          <w:szCs w:val="24"/>
        </w:rPr>
        <w:t xml:space="preserve"> te na ostale pomoći</w:t>
      </w:r>
      <w:r w:rsidRPr="005B26B0">
        <w:rPr>
          <w:rFonts w:ascii="Times New Roman" w:hAnsi="Times New Roman" w:cs="Times New Roman"/>
          <w:sz w:val="24"/>
          <w:szCs w:val="24"/>
        </w:rPr>
        <w:t>.</w:t>
      </w:r>
      <w:r w:rsidR="004F78E8" w:rsidRPr="005B26B0">
        <w:rPr>
          <w:rFonts w:ascii="Times New Roman" w:hAnsi="Times New Roman" w:cs="Times New Roman"/>
          <w:sz w:val="24"/>
          <w:szCs w:val="24"/>
        </w:rPr>
        <w:t xml:space="preserve"> Iznosi su planirani po godinama prema proračunima projekata te podacima dostavljenima od isplatitelja.</w:t>
      </w:r>
    </w:p>
    <w:p w:rsidR="008524C5" w:rsidRPr="005B26B0" w:rsidRDefault="008524C5" w:rsidP="008524C5">
      <w:pPr>
        <w:spacing w:after="0"/>
        <w:ind w:left="38" w:right="14"/>
        <w:jc w:val="both"/>
        <w:rPr>
          <w:rFonts w:ascii="Times New Roman" w:hAnsi="Times New Roman" w:cs="Times New Roman"/>
          <w:sz w:val="24"/>
          <w:szCs w:val="24"/>
        </w:rPr>
      </w:pPr>
      <w:r w:rsidRPr="005B26B0">
        <w:rPr>
          <w:rFonts w:ascii="Times New Roman" w:hAnsi="Times New Roman" w:cs="Times New Roman"/>
          <w:sz w:val="24"/>
          <w:szCs w:val="24"/>
        </w:rPr>
        <w:t xml:space="preserve">Iz izvora </w:t>
      </w:r>
      <w:r w:rsidRPr="005B26B0">
        <w:rPr>
          <w:rFonts w:ascii="Times New Roman" w:hAnsi="Times New Roman" w:cs="Times New Roman"/>
          <w:b/>
          <w:sz w:val="24"/>
          <w:szCs w:val="24"/>
        </w:rPr>
        <w:t>561</w:t>
      </w:r>
      <w:r w:rsidRPr="005B26B0">
        <w:rPr>
          <w:rFonts w:ascii="Times New Roman" w:hAnsi="Times New Roman" w:cs="Times New Roman"/>
          <w:sz w:val="24"/>
          <w:szCs w:val="24"/>
        </w:rPr>
        <w:t xml:space="preserve"> se u razdoblju 2023-2025. godini planiraju ostvariti slijedeći iznosi u EUR:</w:t>
      </w:r>
    </w:p>
    <w:p w:rsidR="0081432C" w:rsidRPr="005B26B0" w:rsidRDefault="0081432C" w:rsidP="00B633FC">
      <w:pPr>
        <w:spacing w:after="0"/>
        <w:ind w:right="1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220" w:type="dxa"/>
        <w:tblLook w:val="04A0" w:firstRow="1" w:lastRow="0" w:firstColumn="1" w:lastColumn="0" w:noHBand="0" w:noVBand="1"/>
      </w:tblPr>
      <w:tblGrid>
        <w:gridCol w:w="1720"/>
        <w:gridCol w:w="1780"/>
        <w:gridCol w:w="1720"/>
      </w:tblGrid>
      <w:tr w:rsidR="0081432C" w:rsidRPr="005B26B0" w:rsidTr="0081432C">
        <w:trPr>
          <w:trHeight w:val="300"/>
        </w:trPr>
        <w:tc>
          <w:tcPr>
            <w:tcW w:w="17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81432C" w:rsidRPr="005B26B0" w:rsidRDefault="00601981" w:rsidP="008143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5B26B0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55.535</w:t>
            </w:r>
          </w:p>
        </w:tc>
        <w:tc>
          <w:tcPr>
            <w:tcW w:w="1780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81432C" w:rsidRPr="005B26B0" w:rsidRDefault="0081432C" w:rsidP="008143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5B26B0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720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81432C" w:rsidRPr="005B26B0" w:rsidRDefault="0081432C" w:rsidP="008143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5B26B0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0</w:t>
            </w:r>
          </w:p>
        </w:tc>
      </w:tr>
    </w:tbl>
    <w:p w:rsidR="0081432C" w:rsidRPr="005B26B0" w:rsidRDefault="0081432C" w:rsidP="0081432C">
      <w:pPr>
        <w:pStyle w:val="HTMLPreformatted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81432C" w:rsidRPr="005B26B0" w:rsidRDefault="0081432C" w:rsidP="0081432C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6B0">
        <w:rPr>
          <w:rFonts w:ascii="Times New Roman" w:hAnsi="Times New Roman" w:cs="Times New Roman"/>
          <w:sz w:val="24"/>
          <w:szCs w:val="24"/>
        </w:rPr>
        <w:t xml:space="preserve">Ova </w:t>
      </w:r>
      <w:proofErr w:type="spellStart"/>
      <w:r w:rsidRPr="005B26B0">
        <w:rPr>
          <w:rFonts w:ascii="Times New Roman" w:hAnsi="Times New Roman" w:cs="Times New Roman"/>
          <w:sz w:val="24"/>
          <w:szCs w:val="24"/>
        </w:rPr>
        <w:t>sredstva</w:t>
      </w:r>
      <w:proofErr w:type="spellEnd"/>
      <w:r w:rsidRPr="005B26B0">
        <w:rPr>
          <w:rFonts w:ascii="Times New Roman" w:hAnsi="Times New Roman" w:cs="Times New Roman"/>
          <w:sz w:val="24"/>
          <w:szCs w:val="24"/>
        </w:rPr>
        <w:t xml:space="preserve"> se</w:t>
      </w:r>
      <w:r w:rsidRPr="005B26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5B26B0">
        <w:rPr>
          <w:rFonts w:ascii="Times New Roman" w:hAnsi="Times New Roman" w:cs="Times New Roman"/>
          <w:color w:val="000000"/>
          <w:sz w:val="24"/>
          <w:szCs w:val="24"/>
        </w:rPr>
        <w:t>odnose</w:t>
      </w:r>
      <w:proofErr w:type="spellEnd"/>
      <w:r w:rsidRPr="005B26B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5B26B0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proofErr w:type="gramEnd"/>
      <w:r w:rsidRPr="005B26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26B0">
        <w:rPr>
          <w:rFonts w:ascii="Times New Roman" w:hAnsi="Times New Roman" w:cs="Times New Roman"/>
          <w:color w:val="000000"/>
          <w:sz w:val="24"/>
          <w:szCs w:val="24"/>
        </w:rPr>
        <w:t>prihode</w:t>
      </w:r>
      <w:proofErr w:type="spellEnd"/>
      <w:r w:rsidRPr="005B26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26B0">
        <w:rPr>
          <w:rFonts w:ascii="Times New Roman" w:hAnsi="Times New Roman" w:cs="Times New Roman"/>
          <w:color w:val="000000"/>
          <w:sz w:val="24"/>
          <w:szCs w:val="24"/>
        </w:rPr>
        <w:t>iz</w:t>
      </w:r>
      <w:proofErr w:type="spellEnd"/>
      <w:r w:rsidRPr="005B26B0">
        <w:rPr>
          <w:rFonts w:ascii="Times New Roman" w:hAnsi="Times New Roman" w:cs="Times New Roman"/>
          <w:color w:val="000000"/>
          <w:sz w:val="24"/>
          <w:szCs w:val="24"/>
        </w:rPr>
        <w:t xml:space="preserve"> ESF-a </w:t>
      </w:r>
      <w:proofErr w:type="spellStart"/>
      <w:r w:rsidRPr="005B26B0">
        <w:rPr>
          <w:rFonts w:ascii="Times New Roman" w:hAnsi="Times New Roman" w:cs="Times New Roman"/>
          <w:color w:val="000000"/>
          <w:sz w:val="24"/>
          <w:szCs w:val="24"/>
        </w:rPr>
        <w:t>temeljem</w:t>
      </w:r>
      <w:proofErr w:type="spellEnd"/>
      <w:r w:rsidRPr="005B26B0">
        <w:rPr>
          <w:rFonts w:ascii="Times New Roman" w:hAnsi="Times New Roman" w:cs="Times New Roman"/>
          <w:color w:val="000000"/>
          <w:sz w:val="24"/>
          <w:szCs w:val="24"/>
        </w:rPr>
        <w:t xml:space="preserve"> EU </w:t>
      </w:r>
      <w:proofErr w:type="spellStart"/>
      <w:r w:rsidRPr="005B26B0">
        <w:rPr>
          <w:rFonts w:ascii="Times New Roman" w:hAnsi="Times New Roman" w:cs="Times New Roman"/>
          <w:color w:val="000000"/>
          <w:sz w:val="24"/>
          <w:szCs w:val="24"/>
        </w:rPr>
        <w:t>projekta</w:t>
      </w:r>
      <w:proofErr w:type="spellEnd"/>
      <w:r w:rsidRPr="005B26B0">
        <w:rPr>
          <w:rFonts w:ascii="Times New Roman" w:hAnsi="Times New Roman" w:cs="Times New Roman"/>
          <w:color w:val="000000"/>
          <w:sz w:val="24"/>
          <w:szCs w:val="24"/>
        </w:rPr>
        <w:t xml:space="preserve"> “</w:t>
      </w:r>
      <w:proofErr w:type="spellStart"/>
      <w:r w:rsidRPr="005B26B0">
        <w:rPr>
          <w:rFonts w:ascii="Times New Roman" w:hAnsi="Times New Roman" w:cs="Times New Roman"/>
          <w:color w:val="000000"/>
          <w:sz w:val="24"/>
          <w:szCs w:val="24"/>
        </w:rPr>
        <w:t>Stručna</w:t>
      </w:r>
      <w:proofErr w:type="spellEnd"/>
      <w:r w:rsidRPr="005B26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26B0">
        <w:rPr>
          <w:rFonts w:ascii="Times New Roman" w:hAnsi="Times New Roman" w:cs="Times New Roman"/>
          <w:color w:val="000000"/>
          <w:sz w:val="24"/>
          <w:szCs w:val="24"/>
        </w:rPr>
        <w:t>praksa</w:t>
      </w:r>
      <w:proofErr w:type="spellEnd"/>
      <w:r w:rsidRPr="005B26B0">
        <w:rPr>
          <w:rFonts w:ascii="Times New Roman" w:hAnsi="Times New Roman" w:cs="Times New Roman"/>
          <w:color w:val="000000"/>
          <w:sz w:val="24"/>
          <w:szCs w:val="24"/>
        </w:rPr>
        <w:t>”.</w:t>
      </w:r>
    </w:p>
    <w:p w:rsidR="0081432C" w:rsidRPr="005B26B0" w:rsidRDefault="0081432C" w:rsidP="0081432C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B26B0">
        <w:rPr>
          <w:rFonts w:ascii="Times New Roman" w:hAnsi="Times New Roman" w:cs="Times New Roman"/>
          <w:color w:val="000000"/>
          <w:sz w:val="24"/>
          <w:szCs w:val="24"/>
        </w:rPr>
        <w:t>Projekt</w:t>
      </w:r>
      <w:proofErr w:type="spellEnd"/>
      <w:r w:rsidRPr="005B26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26B0">
        <w:rPr>
          <w:rFonts w:ascii="Times New Roman" w:hAnsi="Times New Roman" w:cs="Times New Roman"/>
          <w:color w:val="000000"/>
          <w:sz w:val="24"/>
          <w:szCs w:val="24"/>
        </w:rPr>
        <w:t>završava</w:t>
      </w:r>
      <w:proofErr w:type="spellEnd"/>
      <w:r w:rsidRPr="005B26B0">
        <w:rPr>
          <w:rFonts w:ascii="Times New Roman" w:hAnsi="Times New Roman" w:cs="Times New Roman"/>
          <w:color w:val="000000"/>
          <w:sz w:val="24"/>
          <w:szCs w:val="24"/>
        </w:rPr>
        <w:t xml:space="preserve"> u 2023. </w:t>
      </w:r>
      <w:proofErr w:type="spellStart"/>
      <w:r w:rsidRPr="005B26B0">
        <w:rPr>
          <w:rFonts w:ascii="Times New Roman" w:hAnsi="Times New Roman" w:cs="Times New Roman"/>
          <w:color w:val="000000"/>
          <w:sz w:val="24"/>
          <w:szCs w:val="24"/>
        </w:rPr>
        <w:t>godini</w:t>
      </w:r>
      <w:proofErr w:type="spellEnd"/>
      <w:r w:rsidRPr="005B26B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B26B0">
        <w:rPr>
          <w:rFonts w:ascii="Times New Roman" w:hAnsi="Times New Roman" w:cs="Times New Roman"/>
          <w:color w:val="000000"/>
          <w:sz w:val="24"/>
          <w:szCs w:val="24"/>
        </w:rPr>
        <w:t>te</w:t>
      </w:r>
      <w:proofErr w:type="spellEnd"/>
      <w:r w:rsidRPr="005B26B0">
        <w:rPr>
          <w:rFonts w:ascii="Times New Roman" w:hAnsi="Times New Roman" w:cs="Times New Roman"/>
          <w:color w:val="000000"/>
          <w:sz w:val="24"/>
          <w:szCs w:val="24"/>
        </w:rPr>
        <w:t xml:space="preserve"> se u 2024. </w:t>
      </w:r>
      <w:proofErr w:type="spellStart"/>
      <w:r w:rsidRPr="005B26B0">
        <w:rPr>
          <w:rFonts w:ascii="Times New Roman" w:hAnsi="Times New Roman" w:cs="Times New Roman"/>
          <w:color w:val="000000"/>
          <w:sz w:val="24"/>
          <w:szCs w:val="24"/>
        </w:rPr>
        <w:t>te</w:t>
      </w:r>
      <w:proofErr w:type="spellEnd"/>
      <w:r w:rsidRPr="005B26B0">
        <w:rPr>
          <w:rFonts w:ascii="Times New Roman" w:hAnsi="Times New Roman" w:cs="Times New Roman"/>
          <w:color w:val="000000"/>
          <w:sz w:val="24"/>
          <w:szCs w:val="24"/>
        </w:rPr>
        <w:t xml:space="preserve"> 2025. </w:t>
      </w:r>
      <w:proofErr w:type="spellStart"/>
      <w:r w:rsidRPr="005B26B0">
        <w:rPr>
          <w:rFonts w:ascii="Times New Roman" w:hAnsi="Times New Roman" w:cs="Times New Roman"/>
          <w:color w:val="000000"/>
          <w:sz w:val="24"/>
          <w:szCs w:val="24"/>
        </w:rPr>
        <w:t>godini</w:t>
      </w:r>
      <w:proofErr w:type="spellEnd"/>
      <w:r w:rsidRPr="005B26B0">
        <w:rPr>
          <w:rFonts w:ascii="Times New Roman" w:hAnsi="Times New Roman" w:cs="Times New Roman"/>
          <w:color w:val="000000"/>
          <w:sz w:val="24"/>
          <w:szCs w:val="24"/>
        </w:rPr>
        <w:t xml:space="preserve"> ne </w:t>
      </w:r>
      <w:proofErr w:type="spellStart"/>
      <w:r w:rsidRPr="005B26B0">
        <w:rPr>
          <w:rFonts w:ascii="Times New Roman" w:hAnsi="Times New Roman" w:cs="Times New Roman"/>
          <w:color w:val="000000"/>
          <w:sz w:val="24"/>
          <w:szCs w:val="24"/>
        </w:rPr>
        <w:t>planiraju</w:t>
      </w:r>
      <w:proofErr w:type="spellEnd"/>
      <w:r w:rsidRPr="005B26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62506" w:rsidRPr="005B26B0">
        <w:rPr>
          <w:rFonts w:ascii="Times New Roman" w:hAnsi="Times New Roman" w:cs="Times New Roman"/>
          <w:color w:val="000000"/>
          <w:sz w:val="24"/>
          <w:szCs w:val="24"/>
        </w:rPr>
        <w:t>prihodi</w:t>
      </w:r>
      <w:proofErr w:type="spellEnd"/>
      <w:r w:rsidRPr="005B26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26B0">
        <w:rPr>
          <w:rFonts w:ascii="Times New Roman" w:hAnsi="Times New Roman" w:cs="Times New Roman"/>
          <w:color w:val="000000"/>
          <w:sz w:val="24"/>
          <w:szCs w:val="24"/>
        </w:rPr>
        <w:t>iz</w:t>
      </w:r>
      <w:proofErr w:type="spellEnd"/>
      <w:r w:rsidRPr="005B26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26B0">
        <w:rPr>
          <w:rFonts w:ascii="Times New Roman" w:hAnsi="Times New Roman" w:cs="Times New Roman"/>
          <w:color w:val="000000"/>
          <w:sz w:val="24"/>
          <w:szCs w:val="24"/>
        </w:rPr>
        <w:t>ovog</w:t>
      </w:r>
      <w:proofErr w:type="spellEnd"/>
      <w:r w:rsidRPr="005B26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26B0">
        <w:rPr>
          <w:rFonts w:ascii="Times New Roman" w:hAnsi="Times New Roman" w:cs="Times New Roman"/>
          <w:color w:val="000000"/>
          <w:sz w:val="24"/>
          <w:szCs w:val="24"/>
        </w:rPr>
        <w:t>izvora</w:t>
      </w:r>
      <w:proofErr w:type="spellEnd"/>
      <w:r w:rsidRPr="005B26B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1432C" w:rsidRPr="005B26B0" w:rsidRDefault="0081432C" w:rsidP="00B633FC">
      <w:pPr>
        <w:spacing w:after="0"/>
        <w:ind w:right="14"/>
        <w:rPr>
          <w:rFonts w:ascii="Times New Roman" w:hAnsi="Times New Roman" w:cs="Times New Roman"/>
          <w:b/>
          <w:sz w:val="24"/>
          <w:szCs w:val="24"/>
        </w:rPr>
      </w:pPr>
    </w:p>
    <w:p w:rsidR="00B633FC" w:rsidRPr="005B26B0" w:rsidRDefault="00B633FC" w:rsidP="00B633FC">
      <w:pPr>
        <w:spacing w:after="0"/>
        <w:ind w:right="14"/>
        <w:rPr>
          <w:rFonts w:ascii="Times New Roman" w:hAnsi="Times New Roman" w:cs="Times New Roman"/>
          <w:sz w:val="24"/>
          <w:szCs w:val="24"/>
        </w:rPr>
      </w:pPr>
      <w:r w:rsidRPr="005B26B0">
        <w:rPr>
          <w:rFonts w:ascii="Times New Roman" w:hAnsi="Times New Roman" w:cs="Times New Roman"/>
          <w:b/>
          <w:sz w:val="24"/>
          <w:szCs w:val="24"/>
        </w:rPr>
        <w:t xml:space="preserve">61 Donacije </w:t>
      </w:r>
      <w:r w:rsidRPr="005B26B0">
        <w:rPr>
          <w:rFonts w:ascii="Times New Roman" w:hAnsi="Times New Roman" w:cs="Times New Roman"/>
          <w:sz w:val="24"/>
          <w:szCs w:val="24"/>
        </w:rPr>
        <w:t>se odnose na namjenske donacije fizičkih osoba, neprofitnih organizacija, trgovačkih društava i ostalih subjekata izvan općeg proračuna (ovdje su uključena i sredstva primljena od pravnih osoba nositelja EU projekata (MEFST partner na projektu)).</w:t>
      </w:r>
    </w:p>
    <w:p w:rsidR="008436FE" w:rsidRPr="005B26B0" w:rsidRDefault="008436FE" w:rsidP="008436FE">
      <w:pPr>
        <w:spacing w:after="0"/>
        <w:ind w:left="38" w:right="14"/>
        <w:jc w:val="both"/>
        <w:rPr>
          <w:rFonts w:ascii="Times New Roman" w:hAnsi="Times New Roman" w:cs="Times New Roman"/>
          <w:sz w:val="24"/>
          <w:szCs w:val="24"/>
        </w:rPr>
      </w:pPr>
      <w:r w:rsidRPr="005B26B0">
        <w:rPr>
          <w:rFonts w:ascii="Times New Roman" w:hAnsi="Times New Roman" w:cs="Times New Roman"/>
          <w:sz w:val="24"/>
          <w:szCs w:val="24"/>
        </w:rPr>
        <w:t xml:space="preserve">Iz izvora </w:t>
      </w:r>
      <w:r w:rsidRPr="005B26B0">
        <w:rPr>
          <w:rFonts w:ascii="Times New Roman" w:hAnsi="Times New Roman" w:cs="Times New Roman"/>
          <w:b/>
          <w:sz w:val="24"/>
          <w:szCs w:val="24"/>
        </w:rPr>
        <w:t>61</w:t>
      </w:r>
      <w:r w:rsidRPr="005B26B0">
        <w:rPr>
          <w:rFonts w:ascii="Times New Roman" w:hAnsi="Times New Roman" w:cs="Times New Roman"/>
          <w:sz w:val="24"/>
          <w:szCs w:val="24"/>
        </w:rPr>
        <w:t xml:space="preserve"> se u razdoblju 2023-2025. godini planiraju ostvariti slijedeći iznosi u EUR:</w:t>
      </w:r>
    </w:p>
    <w:p w:rsidR="008436FE" w:rsidRPr="005B26B0" w:rsidRDefault="008436FE" w:rsidP="008436FE">
      <w:pPr>
        <w:spacing w:after="0"/>
        <w:ind w:left="38" w:right="1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220" w:type="dxa"/>
        <w:tblLook w:val="04A0" w:firstRow="1" w:lastRow="0" w:firstColumn="1" w:lastColumn="0" w:noHBand="0" w:noVBand="1"/>
      </w:tblPr>
      <w:tblGrid>
        <w:gridCol w:w="1720"/>
        <w:gridCol w:w="1780"/>
        <w:gridCol w:w="1720"/>
      </w:tblGrid>
      <w:tr w:rsidR="008436FE" w:rsidRPr="005B26B0" w:rsidTr="008436FE">
        <w:trPr>
          <w:trHeight w:val="300"/>
        </w:trPr>
        <w:tc>
          <w:tcPr>
            <w:tcW w:w="17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8436FE" w:rsidRPr="005B26B0" w:rsidRDefault="008436FE" w:rsidP="008436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5B26B0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143.877</w:t>
            </w:r>
          </w:p>
        </w:tc>
        <w:tc>
          <w:tcPr>
            <w:tcW w:w="1780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8436FE" w:rsidRPr="005B26B0" w:rsidRDefault="008436FE" w:rsidP="008436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5B26B0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53.000</w:t>
            </w:r>
          </w:p>
        </w:tc>
        <w:tc>
          <w:tcPr>
            <w:tcW w:w="1720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8436FE" w:rsidRPr="005B26B0" w:rsidRDefault="008436FE" w:rsidP="008436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5B26B0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53.000</w:t>
            </w:r>
          </w:p>
        </w:tc>
      </w:tr>
    </w:tbl>
    <w:p w:rsidR="008436FE" w:rsidRPr="005B26B0" w:rsidRDefault="008436FE" w:rsidP="008436FE">
      <w:pPr>
        <w:spacing w:after="0"/>
        <w:ind w:left="38" w:right="14"/>
        <w:jc w:val="both"/>
        <w:rPr>
          <w:rFonts w:ascii="Times New Roman" w:hAnsi="Times New Roman" w:cs="Times New Roman"/>
          <w:sz w:val="24"/>
          <w:szCs w:val="24"/>
        </w:rPr>
      </w:pPr>
    </w:p>
    <w:p w:rsidR="007A07B1" w:rsidRPr="005B26B0" w:rsidRDefault="008436FE" w:rsidP="00B633FC">
      <w:pPr>
        <w:spacing w:after="0"/>
        <w:ind w:right="14"/>
        <w:rPr>
          <w:rFonts w:ascii="Times New Roman" w:hAnsi="Times New Roman" w:cs="Times New Roman"/>
          <w:sz w:val="24"/>
          <w:szCs w:val="24"/>
        </w:rPr>
      </w:pPr>
      <w:r w:rsidRPr="005B26B0">
        <w:rPr>
          <w:rFonts w:ascii="Times New Roman" w:hAnsi="Times New Roman" w:cs="Times New Roman"/>
          <w:sz w:val="24"/>
          <w:szCs w:val="24"/>
        </w:rPr>
        <w:t xml:space="preserve">Iznos u 2023. godini je veći radi očekivanih sredstava iz Poliklinike </w:t>
      </w:r>
      <w:proofErr w:type="spellStart"/>
      <w:r w:rsidRPr="005B26B0">
        <w:rPr>
          <w:rFonts w:ascii="Times New Roman" w:hAnsi="Times New Roman" w:cs="Times New Roman"/>
          <w:sz w:val="24"/>
          <w:szCs w:val="24"/>
        </w:rPr>
        <w:t>Fiziodent</w:t>
      </w:r>
      <w:proofErr w:type="spellEnd"/>
      <w:r w:rsidRPr="005B26B0">
        <w:rPr>
          <w:rFonts w:ascii="Times New Roman" w:hAnsi="Times New Roman" w:cs="Times New Roman"/>
          <w:sz w:val="24"/>
          <w:szCs w:val="24"/>
        </w:rPr>
        <w:t xml:space="preserve"> (EU projekt u kojem je MEFST partner na projektu).</w:t>
      </w:r>
    </w:p>
    <w:p w:rsidR="00B633FC" w:rsidRPr="005B26B0" w:rsidRDefault="00B633FC" w:rsidP="00B633FC">
      <w:pPr>
        <w:spacing w:after="0"/>
        <w:ind w:left="47" w:right="14"/>
        <w:rPr>
          <w:rFonts w:ascii="Times New Roman" w:hAnsi="Times New Roman" w:cs="Times New Roman"/>
          <w:sz w:val="24"/>
          <w:szCs w:val="24"/>
        </w:rPr>
      </w:pPr>
    </w:p>
    <w:p w:rsidR="00F471E7" w:rsidRDefault="00F471E7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6B0">
        <w:rPr>
          <w:rFonts w:ascii="Times New Roman" w:hAnsi="Times New Roman" w:cs="Times New Roman"/>
          <w:b/>
          <w:sz w:val="24"/>
          <w:szCs w:val="24"/>
        </w:rPr>
        <w:t>RASHODI I IZDACI</w:t>
      </w:r>
    </w:p>
    <w:p w:rsidR="00CB596E" w:rsidRDefault="00CB596E" w:rsidP="00CB596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Obrazloženje</w:t>
      </w:r>
      <w:r w:rsidR="006F1F9B">
        <w:rPr>
          <w:rFonts w:ascii="Times New Roman" w:hAnsi="Times New Roman" w:cs="Times New Roman"/>
          <w:b/>
          <w:sz w:val="24"/>
          <w:szCs w:val="24"/>
        </w:rPr>
        <w:t xml:space="preserve"> ostvarenja </w:t>
      </w:r>
      <w:r>
        <w:rPr>
          <w:rFonts w:ascii="Times New Roman" w:hAnsi="Times New Roman" w:cs="Times New Roman"/>
          <w:b/>
          <w:sz w:val="24"/>
          <w:szCs w:val="24"/>
        </w:rPr>
        <w:t>plana rashoda u razdoblju 01-06/2023.</w:t>
      </w:r>
    </w:p>
    <w:p w:rsidR="00D87A52" w:rsidRPr="00CB596E" w:rsidRDefault="00D87A52" w:rsidP="00D87A52">
      <w:pPr>
        <w:jc w:val="both"/>
        <w:rPr>
          <w:rFonts w:ascii="Times New Roman" w:hAnsi="Times New Roman" w:cs="Times New Roman"/>
          <w:sz w:val="24"/>
          <w:szCs w:val="24"/>
        </w:rPr>
      </w:pPr>
      <w:r w:rsidRPr="00CB596E">
        <w:rPr>
          <w:rFonts w:ascii="Times New Roman" w:hAnsi="Times New Roman" w:cs="Times New Roman"/>
          <w:sz w:val="24"/>
          <w:szCs w:val="24"/>
        </w:rPr>
        <w:t xml:space="preserve">U prvih 6 mjeseci 2023. godine ostvareni su ukupni novčani odljevi temeljem rashoda u visini </w:t>
      </w:r>
      <w:r w:rsidR="00AB00F0" w:rsidRPr="00CB596E">
        <w:rPr>
          <w:rFonts w:ascii="Times New Roman" w:hAnsi="Times New Roman" w:cs="Times New Roman"/>
          <w:sz w:val="24"/>
          <w:szCs w:val="24"/>
        </w:rPr>
        <w:t>5.027.114,00 EUR</w:t>
      </w:r>
      <w:r w:rsidRPr="00CB596E">
        <w:rPr>
          <w:rFonts w:ascii="Times New Roman" w:hAnsi="Times New Roman" w:cs="Times New Roman"/>
          <w:sz w:val="24"/>
          <w:szCs w:val="24"/>
        </w:rPr>
        <w:t>, što čini</w:t>
      </w:r>
      <w:r w:rsidR="00AB00F0" w:rsidRPr="00CB596E">
        <w:rPr>
          <w:rFonts w:ascii="Times New Roman" w:hAnsi="Times New Roman" w:cs="Times New Roman"/>
          <w:sz w:val="24"/>
          <w:szCs w:val="24"/>
        </w:rPr>
        <w:t xml:space="preserve"> 43</w:t>
      </w:r>
      <w:r w:rsidRPr="00CB596E">
        <w:rPr>
          <w:rFonts w:ascii="Times New Roman" w:hAnsi="Times New Roman" w:cs="Times New Roman"/>
          <w:sz w:val="24"/>
          <w:szCs w:val="24"/>
        </w:rPr>
        <w:t xml:space="preserve">% godišnjeg plana rashoda za 2023. godinu, te </w:t>
      </w:r>
      <w:r w:rsidR="00AB00F0" w:rsidRPr="00CB596E">
        <w:rPr>
          <w:rFonts w:ascii="Times New Roman" w:hAnsi="Times New Roman" w:cs="Times New Roman"/>
          <w:sz w:val="24"/>
          <w:szCs w:val="24"/>
        </w:rPr>
        <w:t>77</w:t>
      </w:r>
      <w:r w:rsidRPr="00CB596E">
        <w:rPr>
          <w:rFonts w:ascii="Times New Roman" w:hAnsi="Times New Roman" w:cs="Times New Roman"/>
          <w:sz w:val="24"/>
          <w:szCs w:val="24"/>
        </w:rPr>
        <w:t>% izvršenja rashoda u istom razdoblju prethodne godine.</w:t>
      </w:r>
    </w:p>
    <w:p w:rsidR="00D87A52" w:rsidRPr="00CB596E" w:rsidRDefault="00D87A52" w:rsidP="00D87A52">
      <w:pPr>
        <w:jc w:val="both"/>
        <w:rPr>
          <w:rFonts w:ascii="Times New Roman" w:hAnsi="Times New Roman" w:cs="Times New Roman"/>
          <w:sz w:val="24"/>
          <w:szCs w:val="24"/>
        </w:rPr>
      </w:pPr>
      <w:r w:rsidRPr="00CB596E">
        <w:rPr>
          <w:rFonts w:ascii="Times New Roman" w:hAnsi="Times New Roman" w:cs="Times New Roman"/>
          <w:sz w:val="24"/>
          <w:szCs w:val="24"/>
        </w:rPr>
        <w:t xml:space="preserve">Odstupanja po pojedinim pozicijama </w:t>
      </w:r>
      <w:r w:rsidR="00AB00F0" w:rsidRPr="00CB596E">
        <w:rPr>
          <w:rFonts w:ascii="Times New Roman" w:hAnsi="Times New Roman" w:cs="Times New Roman"/>
          <w:sz w:val="24"/>
          <w:szCs w:val="24"/>
        </w:rPr>
        <w:t xml:space="preserve">u odnosu na plan </w:t>
      </w:r>
      <w:r w:rsidRPr="00CB596E">
        <w:rPr>
          <w:rFonts w:ascii="Times New Roman" w:hAnsi="Times New Roman" w:cs="Times New Roman"/>
          <w:sz w:val="24"/>
          <w:szCs w:val="24"/>
        </w:rPr>
        <w:t>nastala su uglavnom zbog dinamike realizacije rashoda, na što značajno utječe dinamika realizacije postojećih projekata.</w:t>
      </w:r>
    </w:p>
    <w:p w:rsidR="00AB00F0" w:rsidRPr="00CB596E" w:rsidRDefault="00AB00F0" w:rsidP="00AB00F0">
      <w:pPr>
        <w:jc w:val="both"/>
        <w:rPr>
          <w:rFonts w:ascii="Times New Roman" w:hAnsi="Times New Roman" w:cs="Times New Roman"/>
          <w:sz w:val="24"/>
          <w:szCs w:val="24"/>
        </w:rPr>
      </w:pPr>
      <w:r w:rsidRPr="00CB596E">
        <w:rPr>
          <w:rFonts w:ascii="Times New Roman" w:hAnsi="Times New Roman" w:cs="Times New Roman"/>
          <w:sz w:val="24"/>
          <w:szCs w:val="24"/>
        </w:rPr>
        <w:t>Rashodi iz izvora 11 su stabilni te je realizirano 46% od plana, te 104% od prošlogodišnjeg izvršenja.</w:t>
      </w:r>
    </w:p>
    <w:p w:rsidR="00AB00F0" w:rsidRPr="00CB596E" w:rsidRDefault="00C352C1" w:rsidP="00AB00F0">
      <w:pPr>
        <w:jc w:val="both"/>
        <w:rPr>
          <w:rFonts w:ascii="Times New Roman" w:hAnsi="Times New Roman" w:cs="Times New Roman"/>
          <w:sz w:val="24"/>
          <w:szCs w:val="24"/>
        </w:rPr>
      </w:pPr>
      <w:r w:rsidRPr="00CB596E">
        <w:rPr>
          <w:rFonts w:ascii="Times New Roman" w:hAnsi="Times New Roman" w:cs="Times New Roman"/>
          <w:sz w:val="24"/>
          <w:szCs w:val="24"/>
        </w:rPr>
        <w:t>Rashodi</w:t>
      </w:r>
      <w:r w:rsidR="00AB00F0" w:rsidRPr="00CB596E">
        <w:rPr>
          <w:rFonts w:ascii="Times New Roman" w:hAnsi="Times New Roman" w:cs="Times New Roman"/>
          <w:sz w:val="24"/>
          <w:szCs w:val="24"/>
        </w:rPr>
        <w:t xml:space="preserve"> iz izvora 43 (školarine) su realiziran</w:t>
      </w:r>
      <w:r w:rsidRPr="00CB596E">
        <w:rPr>
          <w:rFonts w:ascii="Times New Roman" w:hAnsi="Times New Roman" w:cs="Times New Roman"/>
          <w:sz w:val="24"/>
          <w:szCs w:val="24"/>
        </w:rPr>
        <w:t>i</w:t>
      </w:r>
      <w:r w:rsidR="00AB00F0" w:rsidRPr="00CB596E">
        <w:rPr>
          <w:rFonts w:ascii="Times New Roman" w:hAnsi="Times New Roman" w:cs="Times New Roman"/>
          <w:sz w:val="24"/>
          <w:szCs w:val="24"/>
        </w:rPr>
        <w:t xml:space="preserve"> u visini </w:t>
      </w:r>
      <w:r w:rsidRPr="00CB596E">
        <w:rPr>
          <w:rFonts w:ascii="Times New Roman" w:hAnsi="Times New Roman" w:cs="Times New Roman"/>
          <w:sz w:val="24"/>
          <w:szCs w:val="24"/>
        </w:rPr>
        <w:t>38</w:t>
      </w:r>
      <w:r w:rsidR="00AB00F0" w:rsidRPr="00CB596E">
        <w:rPr>
          <w:rFonts w:ascii="Times New Roman" w:hAnsi="Times New Roman" w:cs="Times New Roman"/>
          <w:sz w:val="24"/>
          <w:szCs w:val="24"/>
        </w:rPr>
        <w:t xml:space="preserve">% od planiranog, te </w:t>
      </w:r>
      <w:r w:rsidRPr="00CB596E">
        <w:rPr>
          <w:rFonts w:ascii="Times New Roman" w:hAnsi="Times New Roman" w:cs="Times New Roman"/>
          <w:sz w:val="24"/>
          <w:szCs w:val="24"/>
        </w:rPr>
        <w:t>85</w:t>
      </w:r>
      <w:r w:rsidR="00AB00F0" w:rsidRPr="00CB596E">
        <w:rPr>
          <w:rFonts w:ascii="Times New Roman" w:hAnsi="Times New Roman" w:cs="Times New Roman"/>
          <w:sz w:val="24"/>
          <w:szCs w:val="24"/>
        </w:rPr>
        <w:t>% od prošlogodišnjeg izvršenja. Naime, u prvom dijelu godine stiže manji dio školarina, dok najznačajniji dio školarina stiže počevši od 01. srpnja tekuće godine do kraja godine, što utječe na dinamiku realizacije postojećih planova</w:t>
      </w:r>
      <w:r w:rsidRPr="00CB596E">
        <w:rPr>
          <w:rFonts w:ascii="Times New Roman" w:hAnsi="Times New Roman" w:cs="Times New Roman"/>
          <w:sz w:val="24"/>
          <w:szCs w:val="24"/>
        </w:rPr>
        <w:t xml:space="preserve"> (rashodi iz ovog izvora su u značajnoj mjeri izvršeni iz prenesenih sredstava iz prethodne godine).</w:t>
      </w:r>
    </w:p>
    <w:p w:rsidR="00C352C1" w:rsidRPr="00CB596E" w:rsidRDefault="00C352C1" w:rsidP="00AB00F0">
      <w:pPr>
        <w:jc w:val="both"/>
        <w:rPr>
          <w:rFonts w:ascii="Times New Roman" w:hAnsi="Times New Roman" w:cs="Times New Roman"/>
          <w:sz w:val="24"/>
          <w:szCs w:val="24"/>
        </w:rPr>
      </w:pPr>
      <w:r w:rsidRPr="00CB596E">
        <w:rPr>
          <w:rFonts w:ascii="Times New Roman" w:hAnsi="Times New Roman" w:cs="Times New Roman"/>
          <w:sz w:val="24"/>
          <w:szCs w:val="24"/>
        </w:rPr>
        <w:t>Rashodi</w:t>
      </w:r>
      <w:r w:rsidR="00AB00F0" w:rsidRPr="00CB596E">
        <w:rPr>
          <w:rFonts w:ascii="Times New Roman" w:hAnsi="Times New Roman" w:cs="Times New Roman"/>
          <w:sz w:val="24"/>
          <w:szCs w:val="24"/>
        </w:rPr>
        <w:t xml:space="preserve"> iz izvora 31 su ostvareni u visini </w:t>
      </w:r>
      <w:r w:rsidRPr="00CB596E">
        <w:rPr>
          <w:rFonts w:ascii="Times New Roman" w:hAnsi="Times New Roman" w:cs="Times New Roman"/>
          <w:sz w:val="24"/>
          <w:szCs w:val="24"/>
        </w:rPr>
        <w:t>23</w:t>
      </w:r>
      <w:r w:rsidR="00AB00F0" w:rsidRPr="00CB596E">
        <w:rPr>
          <w:rFonts w:ascii="Times New Roman" w:hAnsi="Times New Roman" w:cs="Times New Roman"/>
          <w:sz w:val="24"/>
          <w:szCs w:val="24"/>
        </w:rPr>
        <w:t xml:space="preserve">% planiranih, te </w:t>
      </w:r>
      <w:r w:rsidRPr="00CB596E">
        <w:rPr>
          <w:rFonts w:ascii="Times New Roman" w:hAnsi="Times New Roman" w:cs="Times New Roman"/>
          <w:sz w:val="24"/>
          <w:szCs w:val="24"/>
        </w:rPr>
        <w:t>38</w:t>
      </w:r>
      <w:r w:rsidR="00AB00F0" w:rsidRPr="00CB596E">
        <w:rPr>
          <w:rFonts w:ascii="Times New Roman" w:hAnsi="Times New Roman" w:cs="Times New Roman"/>
          <w:sz w:val="24"/>
          <w:szCs w:val="24"/>
        </w:rPr>
        <w:t xml:space="preserve">% prošlogodišnjih. Naime, </w:t>
      </w:r>
      <w:r w:rsidRPr="00CB596E">
        <w:rPr>
          <w:rFonts w:ascii="Times New Roman" w:hAnsi="Times New Roman" w:cs="Times New Roman"/>
          <w:sz w:val="24"/>
          <w:szCs w:val="24"/>
        </w:rPr>
        <w:t>ovi rashodi ovise o fazi realizaciji projekata za tržište te dinamici organiziranja tečajeva, kongresa i sl.</w:t>
      </w:r>
    </w:p>
    <w:p w:rsidR="00C352C1" w:rsidRPr="00CB596E" w:rsidRDefault="00C352C1" w:rsidP="00AB00F0">
      <w:pPr>
        <w:jc w:val="both"/>
        <w:rPr>
          <w:rFonts w:ascii="Times New Roman" w:hAnsi="Times New Roman" w:cs="Times New Roman"/>
          <w:sz w:val="24"/>
          <w:szCs w:val="24"/>
        </w:rPr>
      </w:pPr>
      <w:r w:rsidRPr="00CB596E">
        <w:rPr>
          <w:rFonts w:ascii="Times New Roman" w:hAnsi="Times New Roman" w:cs="Times New Roman"/>
          <w:sz w:val="24"/>
          <w:szCs w:val="24"/>
        </w:rPr>
        <w:t xml:space="preserve"> </w:t>
      </w:r>
      <w:r w:rsidR="00AB00F0" w:rsidRPr="00CB596E">
        <w:rPr>
          <w:rFonts w:ascii="Times New Roman" w:hAnsi="Times New Roman" w:cs="Times New Roman"/>
          <w:sz w:val="24"/>
          <w:szCs w:val="24"/>
        </w:rPr>
        <w:t xml:space="preserve">Prihodi iz izvora 561 i 12 (EU projekti iz ESF-a) su ostvareni u visini </w:t>
      </w:r>
      <w:r w:rsidRPr="00CB596E">
        <w:rPr>
          <w:rFonts w:ascii="Times New Roman" w:hAnsi="Times New Roman" w:cs="Times New Roman"/>
          <w:sz w:val="24"/>
          <w:szCs w:val="24"/>
        </w:rPr>
        <w:t>120%</w:t>
      </w:r>
      <w:r w:rsidR="00AB00F0" w:rsidRPr="00CB596E">
        <w:rPr>
          <w:rFonts w:ascii="Times New Roman" w:hAnsi="Times New Roman" w:cs="Times New Roman"/>
          <w:sz w:val="24"/>
          <w:szCs w:val="24"/>
        </w:rPr>
        <w:t xml:space="preserve"> od planiranih te  </w:t>
      </w:r>
      <w:r w:rsidRPr="00CB596E">
        <w:rPr>
          <w:rFonts w:ascii="Times New Roman" w:hAnsi="Times New Roman" w:cs="Times New Roman"/>
          <w:sz w:val="24"/>
          <w:szCs w:val="24"/>
        </w:rPr>
        <w:t>6</w:t>
      </w:r>
      <w:r w:rsidR="00AB00F0" w:rsidRPr="00CB596E">
        <w:rPr>
          <w:rFonts w:ascii="Times New Roman" w:hAnsi="Times New Roman" w:cs="Times New Roman"/>
          <w:sz w:val="24"/>
          <w:szCs w:val="24"/>
        </w:rPr>
        <w:t xml:space="preserve">% od izvršenih prethodne godine, dok su </w:t>
      </w:r>
      <w:r w:rsidRPr="00CB596E">
        <w:rPr>
          <w:rFonts w:ascii="Times New Roman" w:hAnsi="Times New Roman" w:cs="Times New Roman"/>
          <w:sz w:val="24"/>
          <w:szCs w:val="24"/>
        </w:rPr>
        <w:t xml:space="preserve">rashodi </w:t>
      </w:r>
      <w:r w:rsidR="00AB00F0" w:rsidRPr="00CB596E">
        <w:rPr>
          <w:rFonts w:ascii="Times New Roman" w:hAnsi="Times New Roman" w:cs="Times New Roman"/>
          <w:sz w:val="24"/>
          <w:szCs w:val="24"/>
        </w:rPr>
        <w:t xml:space="preserve">iz izvora 51 (Obzor projekti) ostvareni u visini </w:t>
      </w:r>
      <w:r w:rsidRPr="00CB596E">
        <w:rPr>
          <w:rFonts w:ascii="Times New Roman" w:hAnsi="Times New Roman" w:cs="Times New Roman"/>
          <w:sz w:val="24"/>
          <w:szCs w:val="24"/>
        </w:rPr>
        <w:t>101</w:t>
      </w:r>
      <w:r w:rsidR="00AB00F0" w:rsidRPr="00CB596E">
        <w:rPr>
          <w:rFonts w:ascii="Times New Roman" w:hAnsi="Times New Roman" w:cs="Times New Roman"/>
          <w:sz w:val="24"/>
          <w:szCs w:val="24"/>
        </w:rPr>
        <w:t xml:space="preserve">% od planiranih, te </w:t>
      </w:r>
      <w:r w:rsidRPr="00CB596E">
        <w:rPr>
          <w:rFonts w:ascii="Times New Roman" w:hAnsi="Times New Roman" w:cs="Times New Roman"/>
          <w:sz w:val="24"/>
          <w:szCs w:val="24"/>
        </w:rPr>
        <w:t>345</w:t>
      </w:r>
      <w:r w:rsidR="00AB00F0" w:rsidRPr="00CB596E">
        <w:rPr>
          <w:rFonts w:ascii="Times New Roman" w:hAnsi="Times New Roman" w:cs="Times New Roman"/>
          <w:sz w:val="24"/>
          <w:szCs w:val="24"/>
        </w:rPr>
        <w:t xml:space="preserve">% od prošlogodišnjih. Naime, dinamika </w:t>
      </w:r>
      <w:r w:rsidRPr="00CB596E">
        <w:rPr>
          <w:rFonts w:ascii="Times New Roman" w:hAnsi="Times New Roman" w:cs="Times New Roman"/>
          <w:sz w:val="24"/>
          <w:szCs w:val="24"/>
        </w:rPr>
        <w:t>realizacije rashoda</w:t>
      </w:r>
      <w:r w:rsidR="00AB00F0" w:rsidRPr="00CB596E">
        <w:rPr>
          <w:rFonts w:ascii="Times New Roman" w:hAnsi="Times New Roman" w:cs="Times New Roman"/>
          <w:sz w:val="24"/>
          <w:szCs w:val="24"/>
        </w:rPr>
        <w:t xml:space="preserve"> u velikoj mjeri ovisi o fazi realizacije postojećih </w:t>
      </w:r>
      <w:r w:rsidRPr="00CB596E">
        <w:rPr>
          <w:rFonts w:ascii="Times New Roman" w:hAnsi="Times New Roman" w:cs="Times New Roman"/>
          <w:sz w:val="24"/>
          <w:szCs w:val="24"/>
        </w:rPr>
        <w:t xml:space="preserve">EU </w:t>
      </w:r>
      <w:r w:rsidR="00AB00F0" w:rsidRPr="00CB596E">
        <w:rPr>
          <w:rFonts w:ascii="Times New Roman" w:hAnsi="Times New Roman" w:cs="Times New Roman"/>
          <w:sz w:val="24"/>
          <w:szCs w:val="24"/>
        </w:rPr>
        <w:t>projekata</w:t>
      </w:r>
      <w:r w:rsidRPr="00CB596E">
        <w:rPr>
          <w:rFonts w:ascii="Times New Roman" w:hAnsi="Times New Roman" w:cs="Times New Roman"/>
          <w:sz w:val="24"/>
          <w:szCs w:val="24"/>
        </w:rPr>
        <w:t>.</w:t>
      </w:r>
    </w:p>
    <w:p w:rsidR="00AB00F0" w:rsidRPr="00CB596E" w:rsidRDefault="00AB00F0" w:rsidP="00AB00F0">
      <w:pPr>
        <w:jc w:val="both"/>
        <w:rPr>
          <w:rFonts w:ascii="Times New Roman" w:hAnsi="Times New Roman" w:cs="Times New Roman"/>
          <w:sz w:val="24"/>
          <w:szCs w:val="24"/>
        </w:rPr>
      </w:pPr>
      <w:r w:rsidRPr="00CB596E">
        <w:rPr>
          <w:rFonts w:ascii="Times New Roman" w:hAnsi="Times New Roman" w:cs="Times New Roman"/>
          <w:sz w:val="24"/>
          <w:szCs w:val="24"/>
        </w:rPr>
        <w:lastRenderedPageBreak/>
        <w:t xml:space="preserve">Prihodi iz izvora 52 (Ostale pomoći i darovnice) su u odnosu na plan realizirane u visini </w:t>
      </w:r>
      <w:r w:rsidR="00C352C1" w:rsidRPr="00CB596E">
        <w:rPr>
          <w:rFonts w:ascii="Times New Roman" w:hAnsi="Times New Roman" w:cs="Times New Roman"/>
          <w:sz w:val="24"/>
          <w:szCs w:val="24"/>
        </w:rPr>
        <w:t>38</w:t>
      </w:r>
      <w:r w:rsidRPr="00CB596E">
        <w:rPr>
          <w:rFonts w:ascii="Times New Roman" w:hAnsi="Times New Roman" w:cs="Times New Roman"/>
          <w:sz w:val="24"/>
          <w:szCs w:val="24"/>
        </w:rPr>
        <w:t xml:space="preserve">%, a u odnosu na prošlogodišnje ostvarenje u visini </w:t>
      </w:r>
      <w:r w:rsidR="00C352C1" w:rsidRPr="00CB596E">
        <w:rPr>
          <w:rFonts w:ascii="Times New Roman" w:hAnsi="Times New Roman" w:cs="Times New Roman"/>
          <w:sz w:val="24"/>
          <w:szCs w:val="24"/>
        </w:rPr>
        <w:t>104</w:t>
      </w:r>
      <w:r w:rsidRPr="00CB596E">
        <w:rPr>
          <w:rFonts w:ascii="Times New Roman" w:hAnsi="Times New Roman" w:cs="Times New Roman"/>
          <w:sz w:val="24"/>
          <w:szCs w:val="24"/>
        </w:rPr>
        <w:t xml:space="preserve">%. Ovi </w:t>
      </w:r>
      <w:r w:rsidR="00C352C1" w:rsidRPr="00CB596E">
        <w:rPr>
          <w:rFonts w:ascii="Times New Roman" w:hAnsi="Times New Roman" w:cs="Times New Roman"/>
          <w:sz w:val="24"/>
          <w:szCs w:val="24"/>
        </w:rPr>
        <w:t>rashodi</w:t>
      </w:r>
      <w:r w:rsidRPr="00CB596E">
        <w:rPr>
          <w:rFonts w:ascii="Times New Roman" w:hAnsi="Times New Roman" w:cs="Times New Roman"/>
          <w:sz w:val="24"/>
          <w:szCs w:val="24"/>
        </w:rPr>
        <w:t xml:space="preserve"> se uglavnom temelje na </w:t>
      </w:r>
      <w:r w:rsidR="00742DD7" w:rsidRPr="00CB596E">
        <w:rPr>
          <w:rFonts w:ascii="Times New Roman" w:hAnsi="Times New Roman" w:cs="Times New Roman"/>
          <w:sz w:val="24"/>
          <w:szCs w:val="24"/>
        </w:rPr>
        <w:t>izvršenju EU projekata</w:t>
      </w:r>
      <w:r w:rsidR="00CB596E" w:rsidRPr="00CB596E">
        <w:rPr>
          <w:rFonts w:ascii="Times New Roman" w:hAnsi="Times New Roman" w:cs="Times New Roman"/>
          <w:sz w:val="24"/>
          <w:szCs w:val="24"/>
        </w:rPr>
        <w:t xml:space="preserve"> (sredstva za ove EU projekte stižu iz izvora 52)</w:t>
      </w:r>
      <w:r w:rsidR="00742DD7" w:rsidRPr="00CB596E">
        <w:rPr>
          <w:rFonts w:ascii="Times New Roman" w:hAnsi="Times New Roman" w:cs="Times New Roman"/>
          <w:sz w:val="24"/>
          <w:szCs w:val="24"/>
        </w:rPr>
        <w:t>.</w:t>
      </w:r>
    </w:p>
    <w:p w:rsidR="00AB00F0" w:rsidRPr="00420463" w:rsidRDefault="00742DD7" w:rsidP="00AB00F0">
      <w:pPr>
        <w:jc w:val="both"/>
        <w:rPr>
          <w:rFonts w:ascii="Times New Roman" w:hAnsi="Times New Roman" w:cs="Times New Roman"/>
          <w:sz w:val="24"/>
          <w:szCs w:val="24"/>
        </w:rPr>
      </w:pPr>
      <w:r w:rsidRPr="00CB596E">
        <w:rPr>
          <w:rFonts w:ascii="Times New Roman" w:hAnsi="Times New Roman" w:cs="Times New Roman"/>
          <w:sz w:val="24"/>
          <w:szCs w:val="24"/>
        </w:rPr>
        <w:t>Rashodi</w:t>
      </w:r>
      <w:r w:rsidR="00AB00F0" w:rsidRPr="00CB596E">
        <w:rPr>
          <w:rFonts w:ascii="Times New Roman" w:hAnsi="Times New Roman" w:cs="Times New Roman"/>
          <w:sz w:val="24"/>
          <w:szCs w:val="24"/>
        </w:rPr>
        <w:t xml:space="preserve"> iz izvora 61 (donacije) ostvarene su u visini </w:t>
      </w:r>
      <w:r w:rsidRPr="00CB596E">
        <w:rPr>
          <w:rFonts w:ascii="Times New Roman" w:hAnsi="Times New Roman" w:cs="Times New Roman"/>
          <w:sz w:val="24"/>
          <w:szCs w:val="24"/>
        </w:rPr>
        <w:t>44</w:t>
      </w:r>
      <w:r w:rsidR="00AB00F0" w:rsidRPr="00CB596E">
        <w:rPr>
          <w:rFonts w:ascii="Times New Roman" w:hAnsi="Times New Roman" w:cs="Times New Roman"/>
          <w:sz w:val="24"/>
          <w:szCs w:val="24"/>
        </w:rPr>
        <w:t xml:space="preserve">% od planiranog, te </w:t>
      </w:r>
      <w:r w:rsidRPr="00CB596E">
        <w:rPr>
          <w:rFonts w:ascii="Times New Roman" w:hAnsi="Times New Roman" w:cs="Times New Roman"/>
          <w:sz w:val="24"/>
          <w:szCs w:val="24"/>
        </w:rPr>
        <w:t>63</w:t>
      </w:r>
      <w:r w:rsidR="00AB00F0" w:rsidRPr="00CB596E">
        <w:rPr>
          <w:rFonts w:ascii="Times New Roman" w:hAnsi="Times New Roman" w:cs="Times New Roman"/>
          <w:sz w:val="24"/>
          <w:szCs w:val="24"/>
        </w:rPr>
        <w:t>% od prošlogodišnje</w:t>
      </w:r>
      <w:r w:rsidRPr="00CB596E">
        <w:rPr>
          <w:rFonts w:ascii="Times New Roman" w:hAnsi="Times New Roman" w:cs="Times New Roman"/>
          <w:sz w:val="24"/>
          <w:szCs w:val="24"/>
        </w:rPr>
        <w:t>g</w:t>
      </w:r>
      <w:r w:rsidR="00AB00F0" w:rsidRPr="00CB596E">
        <w:rPr>
          <w:rFonts w:ascii="Times New Roman" w:hAnsi="Times New Roman" w:cs="Times New Roman"/>
          <w:sz w:val="24"/>
          <w:szCs w:val="24"/>
        </w:rPr>
        <w:t xml:space="preserve"> izvršenja. Donacije se u određenom dijelu odnose na </w:t>
      </w:r>
      <w:r w:rsidRPr="00CB596E">
        <w:rPr>
          <w:rFonts w:ascii="Times New Roman" w:hAnsi="Times New Roman" w:cs="Times New Roman"/>
          <w:sz w:val="24"/>
          <w:szCs w:val="24"/>
        </w:rPr>
        <w:t>rashode</w:t>
      </w:r>
      <w:r w:rsidR="00AB00F0" w:rsidRPr="00CB596E">
        <w:rPr>
          <w:rFonts w:ascii="Times New Roman" w:hAnsi="Times New Roman" w:cs="Times New Roman"/>
          <w:sz w:val="24"/>
          <w:szCs w:val="24"/>
        </w:rPr>
        <w:t xml:space="preserve"> temeljem projekata, a u određenoj mjeri na </w:t>
      </w:r>
      <w:r w:rsidRPr="00CB596E">
        <w:rPr>
          <w:rFonts w:ascii="Times New Roman" w:hAnsi="Times New Roman" w:cs="Times New Roman"/>
          <w:sz w:val="24"/>
          <w:szCs w:val="24"/>
        </w:rPr>
        <w:t xml:space="preserve">rashode iz ostalih </w:t>
      </w:r>
      <w:r w:rsidR="00AB00F0" w:rsidRPr="00CB596E">
        <w:rPr>
          <w:rFonts w:ascii="Times New Roman" w:hAnsi="Times New Roman" w:cs="Times New Roman"/>
          <w:sz w:val="24"/>
          <w:szCs w:val="24"/>
        </w:rPr>
        <w:t xml:space="preserve"> donacij</w:t>
      </w:r>
      <w:r w:rsidRPr="00CB596E">
        <w:rPr>
          <w:rFonts w:ascii="Times New Roman" w:hAnsi="Times New Roman" w:cs="Times New Roman"/>
          <w:sz w:val="24"/>
          <w:szCs w:val="24"/>
        </w:rPr>
        <w:t>a</w:t>
      </w:r>
      <w:r w:rsidR="00AB00F0" w:rsidRPr="00CB596E">
        <w:rPr>
          <w:rFonts w:ascii="Times New Roman" w:hAnsi="Times New Roman" w:cs="Times New Roman"/>
          <w:sz w:val="24"/>
          <w:szCs w:val="24"/>
        </w:rPr>
        <w:t>.</w:t>
      </w:r>
    </w:p>
    <w:p w:rsidR="009256FD" w:rsidRDefault="009256FD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7A52" w:rsidRPr="005B26B0" w:rsidRDefault="00FA1606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Obrazloženje planiranih rashoda u razdoblju 01-12/2023</w:t>
      </w:r>
    </w:p>
    <w:p w:rsidR="00955BA8" w:rsidRPr="005B26B0" w:rsidRDefault="00955BA8" w:rsidP="00955BA8">
      <w:pPr>
        <w:spacing w:after="0"/>
        <w:ind w:left="38" w:right="14"/>
        <w:jc w:val="both"/>
        <w:rPr>
          <w:rFonts w:ascii="Times New Roman" w:hAnsi="Times New Roman" w:cs="Times New Roman"/>
          <w:sz w:val="24"/>
          <w:szCs w:val="24"/>
        </w:rPr>
      </w:pPr>
      <w:r w:rsidRPr="005B26B0">
        <w:rPr>
          <w:rFonts w:ascii="Times New Roman" w:hAnsi="Times New Roman" w:cs="Times New Roman"/>
          <w:sz w:val="24"/>
          <w:szCs w:val="24"/>
        </w:rPr>
        <w:t>Ukupni rashodi se u razdoblju 2023-2025. godini planiraju ostvariti u slijedećim iznosima</w:t>
      </w:r>
    </w:p>
    <w:p w:rsidR="00955BA8" w:rsidRPr="005B26B0" w:rsidRDefault="00955BA8" w:rsidP="00955BA8">
      <w:pPr>
        <w:spacing w:after="0"/>
        <w:ind w:left="38" w:right="14"/>
        <w:jc w:val="both"/>
        <w:rPr>
          <w:rFonts w:ascii="Times New Roman" w:hAnsi="Times New Roman" w:cs="Times New Roman"/>
          <w:sz w:val="24"/>
          <w:szCs w:val="24"/>
        </w:rPr>
      </w:pPr>
      <w:r w:rsidRPr="005B26B0">
        <w:rPr>
          <w:rFonts w:ascii="Times New Roman" w:hAnsi="Times New Roman" w:cs="Times New Roman"/>
          <w:sz w:val="24"/>
          <w:szCs w:val="24"/>
        </w:rPr>
        <w:t xml:space="preserve"> ( EUR):</w:t>
      </w:r>
    </w:p>
    <w:p w:rsidR="00955BA8" w:rsidRPr="005B26B0" w:rsidRDefault="00955BA8" w:rsidP="00955B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80" w:type="dxa"/>
        <w:tblLook w:val="04A0" w:firstRow="1" w:lastRow="0" w:firstColumn="1" w:lastColumn="0" w:noHBand="0" w:noVBand="1"/>
      </w:tblPr>
      <w:tblGrid>
        <w:gridCol w:w="1720"/>
        <w:gridCol w:w="1660"/>
        <w:gridCol w:w="1600"/>
      </w:tblGrid>
      <w:tr w:rsidR="00955BA8" w:rsidRPr="005B26B0" w:rsidTr="00F7685D">
        <w:trPr>
          <w:trHeight w:val="300"/>
        </w:trPr>
        <w:tc>
          <w:tcPr>
            <w:tcW w:w="17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955BA8" w:rsidRPr="005B26B0" w:rsidRDefault="00DB632E" w:rsidP="00F768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5B26B0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11.760.183</w:t>
            </w:r>
          </w:p>
        </w:tc>
        <w:tc>
          <w:tcPr>
            <w:tcW w:w="1660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955BA8" w:rsidRPr="005B26B0" w:rsidRDefault="00484DC2" w:rsidP="00F768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5B26B0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10.498.196</w:t>
            </w:r>
          </w:p>
        </w:tc>
        <w:tc>
          <w:tcPr>
            <w:tcW w:w="1600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955BA8" w:rsidRPr="005B26B0" w:rsidRDefault="00484DC2" w:rsidP="00F768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5B26B0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10.357.714</w:t>
            </w:r>
          </w:p>
        </w:tc>
      </w:tr>
    </w:tbl>
    <w:p w:rsidR="00955BA8" w:rsidRPr="005B26B0" w:rsidRDefault="00955BA8" w:rsidP="002B2C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5C63" w:rsidRPr="005B26B0" w:rsidRDefault="00B25C63" w:rsidP="00B25C63">
      <w:pPr>
        <w:spacing w:after="0"/>
        <w:ind w:right="14"/>
        <w:rPr>
          <w:rFonts w:ascii="Times New Roman" w:hAnsi="Times New Roman" w:cs="Times New Roman"/>
          <w:sz w:val="24"/>
          <w:szCs w:val="24"/>
        </w:rPr>
      </w:pPr>
      <w:r w:rsidRPr="005B26B0">
        <w:rPr>
          <w:rFonts w:ascii="Times New Roman" w:hAnsi="Times New Roman" w:cs="Times New Roman"/>
          <w:sz w:val="24"/>
          <w:szCs w:val="24"/>
        </w:rPr>
        <w:t>U 2023. godini se planira rast rashoda za +</w:t>
      </w:r>
      <w:r w:rsidR="00D545E6" w:rsidRPr="005B26B0">
        <w:rPr>
          <w:rFonts w:ascii="Times New Roman" w:hAnsi="Times New Roman" w:cs="Times New Roman"/>
          <w:sz w:val="24"/>
          <w:szCs w:val="24"/>
        </w:rPr>
        <w:t>14</w:t>
      </w:r>
      <w:r w:rsidRPr="005B26B0">
        <w:rPr>
          <w:rFonts w:ascii="Times New Roman" w:hAnsi="Times New Roman" w:cs="Times New Roman"/>
          <w:sz w:val="24"/>
          <w:szCs w:val="24"/>
        </w:rPr>
        <w:t xml:space="preserve">% u odnosu na realizaciju rashoda u 2021. godini, te </w:t>
      </w:r>
      <w:r w:rsidR="006423E7" w:rsidRPr="005B26B0">
        <w:rPr>
          <w:rFonts w:ascii="Times New Roman" w:hAnsi="Times New Roman" w:cs="Times New Roman"/>
          <w:sz w:val="24"/>
          <w:szCs w:val="24"/>
        </w:rPr>
        <w:t>rast</w:t>
      </w:r>
      <w:r w:rsidRPr="005B26B0">
        <w:rPr>
          <w:rFonts w:ascii="Times New Roman" w:hAnsi="Times New Roman" w:cs="Times New Roman"/>
          <w:sz w:val="24"/>
          <w:szCs w:val="24"/>
        </w:rPr>
        <w:t xml:space="preserve"> za +1</w:t>
      </w:r>
      <w:r w:rsidR="00D545E6" w:rsidRPr="005B26B0">
        <w:rPr>
          <w:rFonts w:ascii="Times New Roman" w:hAnsi="Times New Roman" w:cs="Times New Roman"/>
          <w:sz w:val="24"/>
          <w:szCs w:val="24"/>
        </w:rPr>
        <w:t>8</w:t>
      </w:r>
      <w:r w:rsidRPr="005B26B0">
        <w:rPr>
          <w:rFonts w:ascii="Times New Roman" w:hAnsi="Times New Roman" w:cs="Times New Roman"/>
          <w:sz w:val="24"/>
          <w:szCs w:val="24"/>
        </w:rPr>
        <w:t>% u odnosu na plan za 2022. godinu.</w:t>
      </w:r>
    </w:p>
    <w:p w:rsidR="00B25C63" w:rsidRPr="005B26B0" w:rsidRDefault="00B25C63" w:rsidP="00B25C63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6B0">
        <w:rPr>
          <w:rFonts w:ascii="Times New Roman" w:hAnsi="Times New Roman" w:cs="Times New Roman"/>
          <w:color w:val="000000"/>
          <w:sz w:val="24"/>
          <w:szCs w:val="24"/>
        </w:rPr>
        <w:t xml:space="preserve">U 2024. </w:t>
      </w:r>
      <w:proofErr w:type="spellStart"/>
      <w:r w:rsidRPr="005B26B0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5B26B0">
        <w:rPr>
          <w:rFonts w:ascii="Times New Roman" w:hAnsi="Times New Roman" w:cs="Times New Roman"/>
          <w:color w:val="000000"/>
          <w:sz w:val="24"/>
          <w:szCs w:val="24"/>
        </w:rPr>
        <w:t xml:space="preserve"> 2025. </w:t>
      </w:r>
      <w:proofErr w:type="spellStart"/>
      <w:r w:rsidRPr="005B26B0">
        <w:rPr>
          <w:rFonts w:ascii="Times New Roman" w:hAnsi="Times New Roman" w:cs="Times New Roman"/>
          <w:color w:val="000000"/>
          <w:sz w:val="24"/>
          <w:szCs w:val="24"/>
        </w:rPr>
        <w:t>godini</w:t>
      </w:r>
      <w:proofErr w:type="spellEnd"/>
      <w:r w:rsidRPr="005B26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26B0">
        <w:rPr>
          <w:rFonts w:ascii="Times New Roman" w:hAnsi="Times New Roman" w:cs="Times New Roman"/>
          <w:color w:val="000000"/>
          <w:sz w:val="24"/>
          <w:szCs w:val="24"/>
        </w:rPr>
        <w:t>rashod</w:t>
      </w:r>
      <w:r w:rsidR="006423E7" w:rsidRPr="005B26B0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5B26B0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5B26B0">
        <w:rPr>
          <w:rFonts w:ascii="Times New Roman" w:hAnsi="Times New Roman" w:cs="Times New Roman"/>
          <w:color w:val="000000"/>
          <w:sz w:val="24"/>
          <w:szCs w:val="24"/>
        </w:rPr>
        <w:t>planiraju</w:t>
      </w:r>
      <w:proofErr w:type="spellEnd"/>
      <w:r w:rsidRPr="005B26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26B0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5B26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26B0">
        <w:rPr>
          <w:rFonts w:ascii="Times New Roman" w:hAnsi="Times New Roman" w:cs="Times New Roman"/>
          <w:color w:val="000000"/>
          <w:sz w:val="24"/>
          <w:szCs w:val="24"/>
        </w:rPr>
        <w:t>nešto</w:t>
      </w:r>
      <w:proofErr w:type="spellEnd"/>
      <w:r w:rsidRPr="005B26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26B0">
        <w:rPr>
          <w:rFonts w:ascii="Times New Roman" w:hAnsi="Times New Roman" w:cs="Times New Roman"/>
          <w:color w:val="000000"/>
          <w:sz w:val="24"/>
          <w:szCs w:val="24"/>
        </w:rPr>
        <w:t>nižem</w:t>
      </w:r>
      <w:proofErr w:type="spellEnd"/>
      <w:r w:rsidRPr="005B26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26B0">
        <w:rPr>
          <w:rFonts w:ascii="Times New Roman" w:hAnsi="Times New Roman" w:cs="Times New Roman"/>
          <w:color w:val="000000"/>
          <w:sz w:val="24"/>
          <w:szCs w:val="24"/>
        </w:rPr>
        <w:t>nivou</w:t>
      </w:r>
      <w:proofErr w:type="spellEnd"/>
      <w:r w:rsidRPr="005B26B0">
        <w:rPr>
          <w:rFonts w:ascii="Times New Roman" w:hAnsi="Times New Roman" w:cs="Times New Roman"/>
          <w:color w:val="000000"/>
          <w:sz w:val="24"/>
          <w:szCs w:val="24"/>
        </w:rPr>
        <w:t xml:space="preserve"> od 2023. </w:t>
      </w:r>
      <w:proofErr w:type="spellStart"/>
      <w:r w:rsidRPr="005B26B0">
        <w:rPr>
          <w:rFonts w:ascii="Times New Roman" w:hAnsi="Times New Roman" w:cs="Times New Roman"/>
          <w:color w:val="000000"/>
          <w:sz w:val="24"/>
          <w:szCs w:val="24"/>
        </w:rPr>
        <w:t>godine</w:t>
      </w:r>
      <w:proofErr w:type="spellEnd"/>
      <w:r w:rsidRPr="005B26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26B0">
        <w:rPr>
          <w:rFonts w:ascii="Times New Roman" w:hAnsi="Times New Roman" w:cs="Times New Roman"/>
          <w:color w:val="000000"/>
          <w:sz w:val="24"/>
          <w:szCs w:val="24"/>
        </w:rPr>
        <w:t>radi</w:t>
      </w:r>
      <w:proofErr w:type="spellEnd"/>
      <w:r w:rsidRPr="005B26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26B0">
        <w:rPr>
          <w:rFonts w:ascii="Times New Roman" w:hAnsi="Times New Roman" w:cs="Times New Roman"/>
          <w:color w:val="000000"/>
          <w:sz w:val="24"/>
          <w:szCs w:val="24"/>
        </w:rPr>
        <w:t>završetka</w:t>
      </w:r>
      <w:proofErr w:type="spellEnd"/>
      <w:r w:rsidRPr="005B26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26B0">
        <w:rPr>
          <w:rFonts w:ascii="Times New Roman" w:hAnsi="Times New Roman" w:cs="Times New Roman"/>
          <w:color w:val="000000"/>
          <w:sz w:val="24"/>
          <w:szCs w:val="24"/>
        </w:rPr>
        <w:t>dijela</w:t>
      </w:r>
      <w:proofErr w:type="spellEnd"/>
      <w:r w:rsidRPr="005B26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26B0">
        <w:rPr>
          <w:rFonts w:ascii="Times New Roman" w:hAnsi="Times New Roman" w:cs="Times New Roman"/>
          <w:color w:val="000000"/>
          <w:sz w:val="24"/>
          <w:szCs w:val="24"/>
        </w:rPr>
        <w:t>projekata</w:t>
      </w:r>
      <w:proofErr w:type="spellEnd"/>
      <w:r w:rsidRPr="005B26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26B0">
        <w:rPr>
          <w:rFonts w:ascii="Times New Roman" w:hAnsi="Times New Roman" w:cs="Times New Roman"/>
          <w:color w:val="000000"/>
          <w:sz w:val="24"/>
          <w:szCs w:val="24"/>
        </w:rPr>
        <w:t>koji</w:t>
      </w:r>
      <w:proofErr w:type="spellEnd"/>
      <w:r w:rsidRPr="005B26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26B0">
        <w:rPr>
          <w:rFonts w:ascii="Times New Roman" w:hAnsi="Times New Roman" w:cs="Times New Roman"/>
          <w:color w:val="000000"/>
          <w:sz w:val="24"/>
          <w:szCs w:val="24"/>
        </w:rPr>
        <w:t>su</w:t>
      </w:r>
      <w:proofErr w:type="spellEnd"/>
      <w:r w:rsidRPr="005B26B0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5B26B0">
        <w:rPr>
          <w:rFonts w:ascii="Times New Roman" w:hAnsi="Times New Roman" w:cs="Times New Roman"/>
          <w:color w:val="000000"/>
          <w:sz w:val="24"/>
          <w:szCs w:val="24"/>
        </w:rPr>
        <w:t>tijeku</w:t>
      </w:r>
      <w:proofErr w:type="spellEnd"/>
      <w:r w:rsidRPr="005B26B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5B26B0">
        <w:rPr>
          <w:rFonts w:ascii="Times New Roman" w:hAnsi="Times New Roman" w:cs="Times New Roman"/>
          <w:color w:val="000000"/>
          <w:sz w:val="24"/>
          <w:szCs w:val="24"/>
        </w:rPr>
        <w:t>Očekuje</w:t>
      </w:r>
      <w:proofErr w:type="spellEnd"/>
      <w:r w:rsidRPr="005B26B0">
        <w:rPr>
          <w:rFonts w:ascii="Times New Roman" w:hAnsi="Times New Roman" w:cs="Times New Roman"/>
          <w:color w:val="000000"/>
          <w:sz w:val="24"/>
          <w:szCs w:val="24"/>
        </w:rPr>
        <w:t xml:space="preserve"> se da </w:t>
      </w:r>
      <w:proofErr w:type="spellStart"/>
      <w:r w:rsidRPr="005B26B0">
        <w:rPr>
          <w:rFonts w:ascii="Times New Roman" w:hAnsi="Times New Roman" w:cs="Times New Roman"/>
          <w:color w:val="000000"/>
          <w:sz w:val="24"/>
          <w:szCs w:val="24"/>
        </w:rPr>
        <w:t>će</w:t>
      </w:r>
      <w:proofErr w:type="spellEnd"/>
      <w:r w:rsidRPr="005B26B0">
        <w:rPr>
          <w:rFonts w:ascii="Times New Roman" w:hAnsi="Times New Roman" w:cs="Times New Roman"/>
          <w:color w:val="000000"/>
          <w:sz w:val="24"/>
          <w:szCs w:val="24"/>
        </w:rPr>
        <w:t xml:space="preserve"> se u </w:t>
      </w:r>
      <w:proofErr w:type="spellStart"/>
      <w:r w:rsidRPr="005B26B0">
        <w:rPr>
          <w:rFonts w:ascii="Times New Roman" w:hAnsi="Times New Roman" w:cs="Times New Roman"/>
          <w:color w:val="000000"/>
          <w:sz w:val="24"/>
          <w:szCs w:val="24"/>
        </w:rPr>
        <w:t>međuvremenu</w:t>
      </w:r>
      <w:proofErr w:type="spellEnd"/>
      <w:r w:rsidRPr="005B26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26B0">
        <w:rPr>
          <w:rFonts w:ascii="Times New Roman" w:hAnsi="Times New Roman" w:cs="Times New Roman"/>
          <w:color w:val="000000"/>
          <w:sz w:val="24"/>
          <w:szCs w:val="24"/>
        </w:rPr>
        <w:t>pokrenuti</w:t>
      </w:r>
      <w:proofErr w:type="spellEnd"/>
      <w:r w:rsidRPr="005B26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26B0">
        <w:rPr>
          <w:rFonts w:ascii="Times New Roman" w:hAnsi="Times New Roman" w:cs="Times New Roman"/>
          <w:color w:val="000000"/>
          <w:sz w:val="24"/>
          <w:szCs w:val="24"/>
        </w:rPr>
        <w:t>novi</w:t>
      </w:r>
      <w:proofErr w:type="spellEnd"/>
      <w:r w:rsidRPr="005B26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26B0">
        <w:rPr>
          <w:rFonts w:ascii="Times New Roman" w:hAnsi="Times New Roman" w:cs="Times New Roman"/>
          <w:color w:val="000000"/>
          <w:sz w:val="24"/>
          <w:szCs w:val="24"/>
        </w:rPr>
        <w:t>projekti</w:t>
      </w:r>
      <w:proofErr w:type="spellEnd"/>
      <w:r w:rsidRPr="005B26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26B0">
        <w:rPr>
          <w:rFonts w:ascii="Times New Roman" w:hAnsi="Times New Roman" w:cs="Times New Roman"/>
          <w:color w:val="000000"/>
          <w:sz w:val="24"/>
          <w:szCs w:val="24"/>
        </w:rPr>
        <w:t>čija</w:t>
      </w:r>
      <w:proofErr w:type="spellEnd"/>
      <w:r w:rsidRPr="005B26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26B0">
        <w:rPr>
          <w:rFonts w:ascii="Times New Roman" w:hAnsi="Times New Roman" w:cs="Times New Roman"/>
          <w:color w:val="000000"/>
          <w:sz w:val="24"/>
          <w:szCs w:val="24"/>
        </w:rPr>
        <w:t>će</w:t>
      </w:r>
      <w:proofErr w:type="spellEnd"/>
      <w:r w:rsidRPr="005B26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26B0">
        <w:rPr>
          <w:rFonts w:ascii="Times New Roman" w:hAnsi="Times New Roman" w:cs="Times New Roman"/>
          <w:color w:val="000000"/>
          <w:sz w:val="24"/>
          <w:szCs w:val="24"/>
        </w:rPr>
        <w:t>realizacija</w:t>
      </w:r>
      <w:proofErr w:type="spellEnd"/>
      <w:r w:rsidRPr="005B26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26B0">
        <w:rPr>
          <w:rFonts w:ascii="Times New Roman" w:hAnsi="Times New Roman" w:cs="Times New Roman"/>
          <w:color w:val="000000"/>
          <w:sz w:val="24"/>
          <w:szCs w:val="24"/>
        </w:rPr>
        <w:t>biti</w:t>
      </w:r>
      <w:proofErr w:type="spellEnd"/>
      <w:r w:rsidRPr="005B26B0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5B26B0">
        <w:rPr>
          <w:rFonts w:ascii="Times New Roman" w:hAnsi="Times New Roman" w:cs="Times New Roman"/>
          <w:color w:val="000000"/>
          <w:sz w:val="24"/>
          <w:szCs w:val="24"/>
        </w:rPr>
        <w:t>navedenim</w:t>
      </w:r>
      <w:proofErr w:type="spellEnd"/>
      <w:r w:rsidRPr="005B26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26B0">
        <w:rPr>
          <w:rFonts w:ascii="Times New Roman" w:hAnsi="Times New Roman" w:cs="Times New Roman"/>
          <w:color w:val="000000"/>
          <w:sz w:val="24"/>
          <w:szCs w:val="24"/>
        </w:rPr>
        <w:t>godinama</w:t>
      </w:r>
      <w:proofErr w:type="spellEnd"/>
      <w:r w:rsidRPr="005B26B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1476B" w:rsidRPr="005B26B0" w:rsidRDefault="00C1476B" w:rsidP="00C1476B">
      <w:pPr>
        <w:spacing w:after="0"/>
        <w:ind w:right="14"/>
        <w:rPr>
          <w:rFonts w:ascii="Times New Roman" w:hAnsi="Times New Roman" w:cs="Times New Roman"/>
          <w:sz w:val="24"/>
          <w:szCs w:val="24"/>
        </w:rPr>
      </w:pPr>
      <w:r w:rsidRPr="005B26B0">
        <w:rPr>
          <w:rFonts w:ascii="Times New Roman" w:hAnsi="Times New Roman" w:cs="Times New Roman"/>
          <w:sz w:val="24"/>
          <w:szCs w:val="24"/>
        </w:rPr>
        <w:t>U razdoblju 2023-2025. godini izdaci nisu planirani.</w:t>
      </w:r>
    </w:p>
    <w:p w:rsidR="00B25C63" w:rsidRPr="005B26B0" w:rsidRDefault="00B25C63" w:rsidP="002B2C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E27" w:rsidRPr="005B26B0" w:rsidRDefault="00AC3E27" w:rsidP="002B2C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6B0">
        <w:rPr>
          <w:rFonts w:ascii="Times New Roman" w:hAnsi="Times New Roman" w:cs="Times New Roman"/>
          <w:sz w:val="24"/>
          <w:szCs w:val="24"/>
        </w:rPr>
        <w:t xml:space="preserve">Najznačajniji rashodi se </w:t>
      </w:r>
      <w:r w:rsidR="00955BA8" w:rsidRPr="005B26B0">
        <w:rPr>
          <w:rFonts w:ascii="Times New Roman" w:hAnsi="Times New Roman" w:cs="Times New Roman"/>
          <w:sz w:val="24"/>
          <w:szCs w:val="24"/>
        </w:rPr>
        <w:t xml:space="preserve">u 2023. godini </w:t>
      </w:r>
      <w:r w:rsidRPr="005B26B0">
        <w:rPr>
          <w:rFonts w:ascii="Times New Roman" w:hAnsi="Times New Roman" w:cs="Times New Roman"/>
          <w:sz w:val="24"/>
          <w:szCs w:val="24"/>
        </w:rPr>
        <w:t>odnose na rashode za zaposlene (7.</w:t>
      </w:r>
      <w:r w:rsidR="000358B1" w:rsidRPr="005B26B0">
        <w:rPr>
          <w:rFonts w:ascii="Times New Roman" w:hAnsi="Times New Roman" w:cs="Times New Roman"/>
          <w:sz w:val="24"/>
          <w:szCs w:val="24"/>
        </w:rPr>
        <w:t>401</w:t>
      </w:r>
      <w:r w:rsidRPr="005B26B0">
        <w:rPr>
          <w:rFonts w:ascii="Times New Roman" w:hAnsi="Times New Roman" w:cs="Times New Roman"/>
          <w:sz w:val="24"/>
          <w:szCs w:val="24"/>
        </w:rPr>
        <w:t xml:space="preserve"> tis. EUR odnosno 6</w:t>
      </w:r>
      <w:r w:rsidR="00643CDA" w:rsidRPr="005B26B0">
        <w:rPr>
          <w:rFonts w:ascii="Times New Roman" w:hAnsi="Times New Roman" w:cs="Times New Roman"/>
          <w:sz w:val="24"/>
          <w:szCs w:val="24"/>
        </w:rPr>
        <w:t>3</w:t>
      </w:r>
      <w:r w:rsidRPr="005B26B0">
        <w:rPr>
          <w:rFonts w:ascii="Times New Roman" w:hAnsi="Times New Roman" w:cs="Times New Roman"/>
          <w:sz w:val="24"/>
          <w:szCs w:val="24"/>
        </w:rPr>
        <w:t>% ukupnih rashoda), na materijalne rashode (3.</w:t>
      </w:r>
      <w:r w:rsidR="000358B1" w:rsidRPr="005B26B0">
        <w:rPr>
          <w:rFonts w:ascii="Times New Roman" w:hAnsi="Times New Roman" w:cs="Times New Roman"/>
          <w:sz w:val="24"/>
          <w:szCs w:val="24"/>
        </w:rPr>
        <w:t>229</w:t>
      </w:r>
      <w:r w:rsidRPr="005B2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6B0">
        <w:rPr>
          <w:rFonts w:ascii="Times New Roman" w:hAnsi="Times New Roman" w:cs="Times New Roman"/>
          <w:sz w:val="24"/>
          <w:szCs w:val="24"/>
        </w:rPr>
        <w:t>tis</w:t>
      </w:r>
      <w:proofErr w:type="spellEnd"/>
      <w:r w:rsidRPr="005B26B0">
        <w:rPr>
          <w:rFonts w:ascii="Times New Roman" w:hAnsi="Times New Roman" w:cs="Times New Roman"/>
          <w:sz w:val="24"/>
          <w:szCs w:val="24"/>
        </w:rPr>
        <w:t xml:space="preserve"> EUR odnosno </w:t>
      </w:r>
      <w:r w:rsidR="000358B1" w:rsidRPr="005B26B0">
        <w:rPr>
          <w:rFonts w:ascii="Times New Roman" w:hAnsi="Times New Roman" w:cs="Times New Roman"/>
          <w:sz w:val="24"/>
          <w:szCs w:val="24"/>
        </w:rPr>
        <w:t>2</w:t>
      </w:r>
      <w:r w:rsidR="00643CDA" w:rsidRPr="005B26B0">
        <w:rPr>
          <w:rFonts w:ascii="Times New Roman" w:hAnsi="Times New Roman" w:cs="Times New Roman"/>
          <w:sz w:val="24"/>
          <w:szCs w:val="24"/>
        </w:rPr>
        <w:t>7</w:t>
      </w:r>
      <w:r w:rsidRPr="005B26B0">
        <w:rPr>
          <w:rFonts w:ascii="Times New Roman" w:hAnsi="Times New Roman" w:cs="Times New Roman"/>
          <w:sz w:val="24"/>
          <w:szCs w:val="24"/>
        </w:rPr>
        <w:t>%</w:t>
      </w:r>
      <w:r w:rsidR="006423E7" w:rsidRPr="005B26B0">
        <w:rPr>
          <w:rFonts w:ascii="Times New Roman" w:hAnsi="Times New Roman" w:cs="Times New Roman"/>
          <w:sz w:val="24"/>
          <w:szCs w:val="24"/>
        </w:rPr>
        <w:t xml:space="preserve"> od ukupnih rashoda</w:t>
      </w:r>
      <w:r w:rsidRPr="005B26B0">
        <w:rPr>
          <w:rFonts w:ascii="Times New Roman" w:hAnsi="Times New Roman" w:cs="Times New Roman"/>
          <w:sz w:val="24"/>
          <w:szCs w:val="24"/>
        </w:rPr>
        <w:t>, te na rashode za nabavu dugotrajne imovine (</w:t>
      </w:r>
      <w:r w:rsidR="00E02259" w:rsidRPr="005B26B0">
        <w:rPr>
          <w:rFonts w:ascii="Times New Roman" w:hAnsi="Times New Roman" w:cs="Times New Roman"/>
          <w:sz w:val="24"/>
          <w:szCs w:val="24"/>
        </w:rPr>
        <w:t xml:space="preserve">491 </w:t>
      </w:r>
      <w:proofErr w:type="spellStart"/>
      <w:r w:rsidRPr="005B26B0">
        <w:rPr>
          <w:rFonts w:ascii="Times New Roman" w:hAnsi="Times New Roman" w:cs="Times New Roman"/>
          <w:sz w:val="24"/>
          <w:szCs w:val="24"/>
        </w:rPr>
        <w:t>tis</w:t>
      </w:r>
      <w:proofErr w:type="spellEnd"/>
      <w:r w:rsidRPr="005B26B0">
        <w:rPr>
          <w:rFonts w:ascii="Times New Roman" w:hAnsi="Times New Roman" w:cs="Times New Roman"/>
          <w:sz w:val="24"/>
          <w:szCs w:val="24"/>
        </w:rPr>
        <w:t xml:space="preserve"> EUR odnosno 4,</w:t>
      </w:r>
      <w:r w:rsidR="00643CDA" w:rsidRPr="005B26B0">
        <w:rPr>
          <w:rFonts w:ascii="Times New Roman" w:hAnsi="Times New Roman" w:cs="Times New Roman"/>
          <w:sz w:val="24"/>
          <w:szCs w:val="24"/>
        </w:rPr>
        <w:t>2</w:t>
      </w:r>
      <w:r w:rsidRPr="005B26B0">
        <w:rPr>
          <w:rFonts w:ascii="Times New Roman" w:hAnsi="Times New Roman" w:cs="Times New Roman"/>
          <w:sz w:val="24"/>
          <w:szCs w:val="24"/>
        </w:rPr>
        <w:t>%</w:t>
      </w:r>
      <w:r w:rsidR="006423E7" w:rsidRPr="005B26B0">
        <w:rPr>
          <w:rFonts w:ascii="Times New Roman" w:hAnsi="Times New Roman" w:cs="Times New Roman"/>
          <w:sz w:val="24"/>
          <w:szCs w:val="24"/>
        </w:rPr>
        <w:t xml:space="preserve"> od ukupnih </w:t>
      </w:r>
      <w:r w:rsidR="00340357" w:rsidRPr="005B26B0">
        <w:rPr>
          <w:rFonts w:ascii="Times New Roman" w:hAnsi="Times New Roman" w:cs="Times New Roman"/>
          <w:sz w:val="24"/>
          <w:szCs w:val="24"/>
        </w:rPr>
        <w:t>r</w:t>
      </w:r>
      <w:r w:rsidR="006423E7" w:rsidRPr="005B26B0">
        <w:rPr>
          <w:rFonts w:ascii="Times New Roman" w:hAnsi="Times New Roman" w:cs="Times New Roman"/>
          <w:sz w:val="24"/>
          <w:szCs w:val="24"/>
        </w:rPr>
        <w:t>ashoda</w:t>
      </w:r>
      <w:r w:rsidRPr="005B26B0">
        <w:rPr>
          <w:rFonts w:ascii="Times New Roman" w:hAnsi="Times New Roman" w:cs="Times New Roman"/>
          <w:sz w:val="24"/>
          <w:szCs w:val="24"/>
        </w:rPr>
        <w:t>).</w:t>
      </w:r>
    </w:p>
    <w:p w:rsidR="00AC3E27" w:rsidRPr="005B26B0" w:rsidRDefault="00AC3E27" w:rsidP="002B2C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6B0">
        <w:rPr>
          <w:rFonts w:ascii="Times New Roman" w:hAnsi="Times New Roman" w:cs="Times New Roman"/>
          <w:sz w:val="24"/>
          <w:szCs w:val="24"/>
        </w:rPr>
        <w:t xml:space="preserve">Ostalo se odnosi na financijske i ostale rashode (sveukupno </w:t>
      </w:r>
      <w:r w:rsidR="00E02259" w:rsidRPr="005B26B0">
        <w:rPr>
          <w:rFonts w:ascii="Times New Roman" w:hAnsi="Times New Roman" w:cs="Times New Roman"/>
          <w:sz w:val="24"/>
          <w:szCs w:val="24"/>
        </w:rPr>
        <w:t>59</w:t>
      </w:r>
      <w:r w:rsidRPr="005B2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6B0">
        <w:rPr>
          <w:rFonts w:ascii="Times New Roman" w:hAnsi="Times New Roman" w:cs="Times New Roman"/>
          <w:sz w:val="24"/>
          <w:szCs w:val="24"/>
        </w:rPr>
        <w:t>tis</w:t>
      </w:r>
      <w:proofErr w:type="spellEnd"/>
      <w:r w:rsidRPr="005B26B0">
        <w:rPr>
          <w:rFonts w:ascii="Times New Roman" w:hAnsi="Times New Roman" w:cs="Times New Roman"/>
          <w:sz w:val="24"/>
          <w:szCs w:val="24"/>
        </w:rPr>
        <w:t xml:space="preserve"> EUR odnosno 0,</w:t>
      </w:r>
      <w:r w:rsidR="00E02259" w:rsidRPr="005B26B0">
        <w:rPr>
          <w:rFonts w:ascii="Times New Roman" w:hAnsi="Times New Roman" w:cs="Times New Roman"/>
          <w:sz w:val="24"/>
          <w:szCs w:val="24"/>
        </w:rPr>
        <w:t>5</w:t>
      </w:r>
      <w:r w:rsidRPr="005B26B0">
        <w:rPr>
          <w:rFonts w:ascii="Times New Roman" w:hAnsi="Times New Roman" w:cs="Times New Roman"/>
          <w:sz w:val="24"/>
          <w:szCs w:val="24"/>
        </w:rPr>
        <w:t>% ukupnih rashoda).</w:t>
      </w:r>
    </w:p>
    <w:p w:rsidR="00662506" w:rsidRPr="005B26B0" w:rsidRDefault="00662506" w:rsidP="00061A4D">
      <w:pPr>
        <w:spacing w:after="44"/>
        <w:ind w:left="38" w:right="14"/>
        <w:rPr>
          <w:rFonts w:ascii="Times New Roman" w:hAnsi="Times New Roman" w:cs="Times New Roman"/>
          <w:b/>
          <w:sz w:val="24"/>
          <w:szCs w:val="24"/>
        </w:rPr>
      </w:pPr>
    </w:p>
    <w:p w:rsidR="00061A4D" w:rsidRPr="005B26B0" w:rsidRDefault="00061A4D" w:rsidP="006423E7">
      <w:pPr>
        <w:spacing w:after="44"/>
        <w:ind w:left="38" w:right="14"/>
        <w:jc w:val="both"/>
        <w:rPr>
          <w:rFonts w:ascii="Times New Roman" w:hAnsi="Times New Roman" w:cs="Times New Roman"/>
          <w:sz w:val="24"/>
          <w:szCs w:val="24"/>
        </w:rPr>
      </w:pPr>
      <w:r w:rsidRPr="005B26B0">
        <w:rPr>
          <w:rFonts w:ascii="Times New Roman" w:hAnsi="Times New Roman" w:cs="Times New Roman"/>
          <w:b/>
          <w:sz w:val="24"/>
          <w:szCs w:val="24"/>
        </w:rPr>
        <w:t>Rashodi za zaposlene</w:t>
      </w:r>
      <w:r w:rsidRPr="005B26B0">
        <w:rPr>
          <w:rFonts w:ascii="Times New Roman" w:hAnsi="Times New Roman" w:cs="Times New Roman"/>
          <w:sz w:val="24"/>
          <w:szCs w:val="24"/>
        </w:rPr>
        <w:t xml:space="preserve"> </w:t>
      </w:r>
      <w:r w:rsidRPr="005B26B0">
        <w:rPr>
          <w:rFonts w:ascii="Times New Roman" w:hAnsi="Times New Roman" w:cs="Times New Roman"/>
          <w:b/>
          <w:sz w:val="24"/>
          <w:szCs w:val="24"/>
        </w:rPr>
        <w:t>(konta skupine 31)</w:t>
      </w:r>
      <w:r w:rsidRPr="005B26B0">
        <w:rPr>
          <w:rFonts w:ascii="Times New Roman" w:hAnsi="Times New Roman" w:cs="Times New Roman"/>
          <w:sz w:val="24"/>
          <w:szCs w:val="24"/>
        </w:rPr>
        <w:t xml:space="preserve"> financirat će se najvećim dijelom iz sredstava državnog proračuna (6</w:t>
      </w:r>
      <w:r w:rsidR="00643CDA" w:rsidRPr="005B26B0">
        <w:rPr>
          <w:rFonts w:ascii="Times New Roman" w:hAnsi="Times New Roman" w:cs="Times New Roman"/>
          <w:sz w:val="24"/>
          <w:szCs w:val="24"/>
        </w:rPr>
        <w:t>3</w:t>
      </w:r>
      <w:r w:rsidRPr="005B26B0">
        <w:rPr>
          <w:rFonts w:ascii="Times New Roman" w:hAnsi="Times New Roman" w:cs="Times New Roman"/>
          <w:sz w:val="24"/>
          <w:szCs w:val="24"/>
        </w:rPr>
        <w:t xml:space="preserve"> %), dok će se </w:t>
      </w:r>
      <w:r w:rsidR="00DF7C95" w:rsidRPr="005B26B0">
        <w:rPr>
          <w:rFonts w:ascii="Times New Roman" w:hAnsi="Times New Roman" w:cs="Times New Roman"/>
          <w:sz w:val="24"/>
          <w:szCs w:val="24"/>
        </w:rPr>
        <w:t>29</w:t>
      </w:r>
      <w:r w:rsidRPr="005B26B0">
        <w:rPr>
          <w:rFonts w:ascii="Times New Roman" w:hAnsi="Times New Roman" w:cs="Times New Roman"/>
          <w:sz w:val="24"/>
          <w:szCs w:val="24"/>
        </w:rPr>
        <w:t xml:space="preserve">%  financirati iz izvora 43 (školarine), a ostatak iz Hrvatske zaklade za znanost, </w:t>
      </w:r>
      <w:r w:rsidR="00AC3E27" w:rsidRPr="005B26B0">
        <w:rPr>
          <w:rFonts w:ascii="Times New Roman" w:hAnsi="Times New Roman" w:cs="Times New Roman"/>
          <w:sz w:val="24"/>
          <w:szCs w:val="24"/>
        </w:rPr>
        <w:t>EU</w:t>
      </w:r>
      <w:r w:rsidRPr="005B26B0">
        <w:rPr>
          <w:rFonts w:ascii="Times New Roman" w:hAnsi="Times New Roman" w:cs="Times New Roman"/>
          <w:sz w:val="24"/>
          <w:szCs w:val="24"/>
        </w:rPr>
        <w:t xml:space="preserve"> projekata, pomoći i vlastitih prihoda.</w:t>
      </w:r>
    </w:p>
    <w:p w:rsidR="00AC3E27" w:rsidRPr="005B26B0" w:rsidRDefault="00061A4D" w:rsidP="006423E7">
      <w:pPr>
        <w:spacing w:after="21" w:line="252" w:lineRule="auto"/>
        <w:ind w:left="28" w:right="67" w:firstLine="10"/>
        <w:jc w:val="both"/>
        <w:rPr>
          <w:rFonts w:ascii="Times New Roman" w:hAnsi="Times New Roman" w:cs="Times New Roman"/>
          <w:sz w:val="24"/>
          <w:szCs w:val="24"/>
        </w:rPr>
      </w:pPr>
      <w:r w:rsidRPr="005B26B0">
        <w:rPr>
          <w:rFonts w:ascii="Times New Roman" w:hAnsi="Times New Roman" w:cs="Times New Roman"/>
          <w:sz w:val="24"/>
          <w:szCs w:val="24"/>
        </w:rPr>
        <w:t>Rashodi za zaposlene iz proračunskih sredstava</w:t>
      </w:r>
      <w:r w:rsidR="00AC3E27" w:rsidRPr="005B26B0">
        <w:rPr>
          <w:rFonts w:ascii="Times New Roman" w:hAnsi="Times New Roman" w:cs="Times New Roman"/>
          <w:sz w:val="24"/>
          <w:szCs w:val="24"/>
        </w:rPr>
        <w:t xml:space="preserve"> planirani su temeljem limita dobivenog iz Sveučilišta u Splitu. </w:t>
      </w:r>
      <w:r w:rsidRPr="005B26B0">
        <w:rPr>
          <w:rFonts w:ascii="Times New Roman" w:hAnsi="Times New Roman" w:cs="Times New Roman"/>
          <w:sz w:val="24"/>
          <w:szCs w:val="24"/>
        </w:rPr>
        <w:t xml:space="preserve">Planirana su i materijalna prava zaposlenika prema Temeljnom kolektivnom ugovoru za javne službe. </w:t>
      </w:r>
    </w:p>
    <w:p w:rsidR="00061A4D" w:rsidRPr="005B26B0" w:rsidRDefault="00061A4D" w:rsidP="006423E7">
      <w:pPr>
        <w:spacing w:after="21" w:line="252" w:lineRule="auto"/>
        <w:ind w:left="28" w:right="67" w:firstLine="10"/>
        <w:jc w:val="both"/>
        <w:rPr>
          <w:rFonts w:ascii="Times New Roman" w:hAnsi="Times New Roman" w:cs="Times New Roman"/>
          <w:sz w:val="24"/>
          <w:szCs w:val="24"/>
        </w:rPr>
      </w:pPr>
      <w:r w:rsidRPr="005B26B0">
        <w:rPr>
          <w:rFonts w:ascii="Times New Roman" w:hAnsi="Times New Roman" w:cs="Times New Roman"/>
          <w:sz w:val="24"/>
          <w:szCs w:val="24"/>
        </w:rPr>
        <w:t xml:space="preserve">Iz namjenskih prihoda planira se financirati dio zaposlenika koji se ne financiraju iz Državnog proračuna, uvećanje plaće pomoćnicima dekana, voditeljima studija, prekovremeni rad, rad na </w:t>
      </w:r>
      <w:r w:rsidR="006423E7" w:rsidRPr="005B26B0">
        <w:rPr>
          <w:rFonts w:ascii="Times New Roman" w:hAnsi="Times New Roman" w:cs="Times New Roman"/>
          <w:sz w:val="24"/>
          <w:szCs w:val="24"/>
        </w:rPr>
        <w:t>s</w:t>
      </w:r>
      <w:r w:rsidRPr="005B26B0">
        <w:rPr>
          <w:rFonts w:ascii="Times New Roman" w:hAnsi="Times New Roman" w:cs="Times New Roman"/>
          <w:sz w:val="24"/>
          <w:szCs w:val="24"/>
        </w:rPr>
        <w:t xml:space="preserve">tudiju </w:t>
      </w:r>
      <w:r w:rsidR="006423E7" w:rsidRPr="005B26B0">
        <w:rPr>
          <w:rFonts w:ascii="Times New Roman" w:hAnsi="Times New Roman" w:cs="Times New Roman"/>
          <w:sz w:val="24"/>
          <w:szCs w:val="24"/>
        </w:rPr>
        <w:t>M</w:t>
      </w:r>
      <w:r w:rsidRPr="005B26B0">
        <w:rPr>
          <w:rFonts w:ascii="Times New Roman" w:hAnsi="Times New Roman" w:cs="Times New Roman"/>
          <w:sz w:val="24"/>
          <w:szCs w:val="24"/>
        </w:rPr>
        <w:t>edicin</w:t>
      </w:r>
      <w:r w:rsidR="006423E7" w:rsidRPr="005B26B0">
        <w:rPr>
          <w:rFonts w:ascii="Times New Roman" w:hAnsi="Times New Roman" w:cs="Times New Roman"/>
          <w:sz w:val="24"/>
          <w:szCs w:val="24"/>
        </w:rPr>
        <w:t>a</w:t>
      </w:r>
      <w:r w:rsidRPr="005B26B0">
        <w:rPr>
          <w:rFonts w:ascii="Times New Roman" w:hAnsi="Times New Roman" w:cs="Times New Roman"/>
          <w:sz w:val="24"/>
          <w:szCs w:val="24"/>
        </w:rPr>
        <w:t xml:space="preserve"> na engleskom jeziku</w:t>
      </w:r>
      <w:r w:rsidR="002B2C1E" w:rsidRPr="005B26B0">
        <w:rPr>
          <w:rFonts w:ascii="Times New Roman" w:hAnsi="Times New Roman" w:cs="Times New Roman"/>
          <w:sz w:val="24"/>
          <w:szCs w:val="24"/>
        </w:rPr>
        <w:t xml:space="preserve"> </w:t>
      </w:r>
      <w:r w:rsidRPr="005B26B0">
        <w:rPr>
          <w:rFonts w:ascii="Times New Roman" w:hAnsi="Times New Roman" w:cs="Times New Roman"/>
          <w:sz w:val="24"/>
          <w:szCs w:val="24"/>
        </w:rPr>
        <w:t xml:space="preserve">te dodatak na plaću zaposlenicima za </w:t>
      </w:r>
      <w:r w:rsidR="002B2C1E" w:rsidRPr="005B26B0">
        <w:rPr>
          <w:rFonts w:ascii="Times New Roman" w:hAnsi="Times New Roman" w:cs="Times New Roman"/>
          <w:sz w:val="24"/>
          <w:szCs w:val="24"/>
        </w:rPr>
        <w:t xml:space="preserve">rad na tržištu, </w:t>
      </w:r>
      <w:r w:rsidR="006423E7" w:rsidRPr="005B26B0">
        <w:rPr>
          <w:rFonts w:ascii="Times New Roman" w:hAnsi="Times New Roman" w:cs="Times New Roman"/>
          <w:sz w:val="24"/>
          <w:szCs w:val="24"/>
        </w:rPr>
        <w:t xml:space="preserve">nagrade </w:t>
      </w:r>
      <w:r w:rsidR="002B2C1E" w:rsidRPr="005B26B0">
        <w:rPr>
          <w:rFonts w:ascii="Times New Roman" w:hAnsi="Times New Roman" w:cs="Times New Roman"/>
          <w:sz w:val="24"/>
          <w:szCs w:val="24"/>
        </w:rPr>
        <w:t xml:space="preserve">za </w:t>
      </w:r>
      <w:r w:rsidRPr="005B26B0">
        <w:rPr>
          <w:rFonts w:ascii="Times New Roman" w:hAnsi="Times New Roman" w:cs="Times New Roman"/>
          <w:sz w:val="24"/>
          <w:szCs w:val="24"/>
        </w:rPr>
        <w:t xml:space="preserve">radne rezultate temeljem uspješnosti u poslovanju, kao i </w:t>
      </w:r>
      <w:r w:rsidR="006423E7" w:rsidRPr="005B26B0">
        <w:rPr>
          <w:rFonts w:ascii="Times New Roman" w:hAnsi="Times New Roman" w:cs="Times New Roman"/>
          <w:sz w:val="24"/>
          <w:szCs w:val="24"/>
        </w:rPr>
        <w:t>nagrade</w:t>
      </w:r>
      <w:r w:rsidRPr="005B26B0">
        <w:rPr>
          <w:rFonts w:ascii="Times New Roman" w:hAnsi="Times New Roman" w:cs="Times New Roman"/>
          <w:sz w:val="24"/>
          <w:szCs w:val="24"/>
        </w:rPr>
        <w:t xml:space="preserve"> zaposleni</w:t>
      </w:r>
      <w:r w:rsidR="006423E7" w:rsidRPr="005B26B0">
        <w:rPr>
          <w:rFonts w:ascii="Times New Roman" w:hAnsi="Times New Roman" w:cs="Times New Roman"/>
          <w:sz w:val="24"/>
          <w:szCs w:val="24"/>
        </w:rPr>
        <w:t>cima</w:t>
      </w:r>
      <w:r w:rsidRPr="005B26B0">
        <w:rPr>
          <w:rFonts w:ascii="Times New Roman" w:hAnsi="Times New Roman" w:cs="Times New Roman"/>
          <w:sz w:val="24"/>
          <w:szCs w:val="24"/>
        </w:rPr>
        <w:t xml:space="preserve"> za izvrsnost i natprosječnost u obavljanju poslova</w:t>
      </w:r>
      <w:r w:rsidR="002B2C1E" w:rsidRPr="005B26B0">
        <w:rPr>
          <w:rFonts w:ascii="Times New Roman" w:hAnsi="Times New Roman" w:cs="Times New Roman"/>
          <w:sz w:val="24"/>
          <w:szCs w:val="24"/>
        </w:rPr>
        <w:t>.</w:t>
      </w:r>
      <w:r w:rsidR="00955BA8" w:rsidRPr="005B26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1A4D" w:rsidRPr="005B26B0" w:rsidRDefault="00061A4D" w:rsidP="006423E7">
      <w:pPr>
        <w:spacing w:after="40"/>
        <w:ind w:left="38" w:right="72"/>
        <w:jc w:val="both"/>
        <w:rPr>
          <w:rFonts w:ascii="Times New Roman" w:hAnsi="Times New Roman" w:cs="Times New Roman"/>
          <w:sz w:val="24"/>
          <w:szCs w:val="24"/>
        </w:rPr>
      </w:pPr>
      <w:r w:rsidRPr="005B26B0">
        <w:rPr>
          <w:rFonts w:ascii="Times New Roman" w:hAnsi="Times New Roman" w:cs="Times New Roman"/>
          <w:sz w:val="24"/>
          <w:szCs w:val="24"/>
        </w:rPr>
        <w:t>Za 202</w:t>
      </w:r>
      <w:r w:rsidR="00AC3E27" w:rsidRPr="005B26B0">
        <w:rPr>
          <w:rFonts w:ascii="Times New Roman" w:hAnsi="Times New Roman" w:cs="Times New Roman"/>
          <w:sz w:val="24"/>
          <w:szCs w:val="24"/>
        </w:rPr>
        <w:t>3</w:t>
      </w:r>
      <w:r w:rsidRPr="005B26B0">
        <w:rPr>
          <w:rFonts w:ascii="Times New Roman" w:hAnsi="Times New Roman" w:cs="Times New Roman"/>
          <w:sz w:val="24"/>
          <w:szCs w:val="24"/>
        </w:rPr>
        <w:t>. rashodi grupe 31 koji će se financirati iz državnog proračuna planirani</w:t>
      </w:r>
      <w:r w:rsidR="00A8762C" w:rsidRPr="005B26B0">
        <w:rPr>
          <w:rFonts w:ascii="Times New Roman" w:hAnsi="Times New Roman" w:cs="Times New Roman"/>
          <w:sz w:val="24"/>
          <w:szCs w:val="24"/>
        </w:rPr>
        <w:t xml:space="preserve"> su</w:t>
      </w:r>
      <w:r w:rsidRPr="005B26B0">
        <w:rPr>
          <w:rFonts w:ascii="Times New Roman" w:hAnsi="Times New Roman" w:cs="Times New Roman"/>
          <w:sz w:val="24"/>
          <w:szCs w:val="24"/>
        </w:rPr>
        <w:t xml:space="preserve"> </w:t>
      </w:r>
      <w:r w:rsidR="00A8762C" w:rsidRPr="005B26B0">
        <w:rPr>
          <w:rFonts w:ascii="Times New Roman" w:hAnsi="Times New Roman" w:cs="Times New Roman"/>
          <w:sz w:val="24"/>
          <w:szCs w:val="24"/>
        </w:rPr>
        <w:t xml:space="preserve">temeljem limita iz MZO, </w:t>
      </w:r>
      <w:r w:rsidRPr="005B26B0">
        <w:rPr>
          <w:rFonts w:ascii="Times New Roman" w:hAnsi="Times New Roman" w:cs="Times New Roman"/>
          <w:sz w:val="24"/>
          <w:szCs w:val="24"/>
        </w:rPr>
        <w:t xml:space="preserve"> te se projekcije za 202</w:t>
      </w:r>
      <w:r w:rsidR="00AC3E27" w:rsidRPr="005B26B0">
        <w:rPr>
          <w:rFonts w:ascii="Times New Roman" w:hAnsi="Times New Roman" w:cs="Times New Roman"/>
          <w:sz w:val="24"/>
          <w:szCs w:val="24"/>
        </w:rPr>
        <w:t>4</w:t>
      </w:r>
      <w:r w:rsidRPr="005B26B0">
        <w:rPr>
          <w:rFonts w:ascii="Times New Roman" w:hAnsi="Times New Roman" w:cs="Times New Roman"/>
          <w:sz w:val="24"/>
          <w:szCs w:val="24"/>
        </w:rPr>
        <w:t>. i 202</w:t>
      </w:r>
      <w:r w:rsidR="00AC3E27" w:rsidRPr="005B26B0">
        <w:rPr>
          <w:rFonts w:ascii="Times New Roman" w:hAnsi="Times New Roman" w:cs="Times New Roman"/>
          <w:sz w:val="24"/>
          <w:szCs w:val="24"/>
        </w:rPr>
        <w:t>5</w:t>
      </w:r>
      <w:r w:rsidRPr="005B26B0">
        <w:rPr>
          <w:rFonts w:ascii="Times New Roman" w:hAnsi="Times New Roman" w:cs="Times New Roman"/>
          <w:sz w:val="24"/>
          <w:szCs w:val="24"/>
        </w:rPr>
        <w:t xml:space="preserve">. godinu zadržavaju na </w:t>
      </w:r>
      <w:r w:rsidR="001759AB" w:rsidRPr="005B26B0">
        <w:rPr>
          <w:rFonts w:ascii="Times New Roman" w:hAnsi="Times New Roman" w:cs="Times New Roman"/>
          <w:sz w:val="24"/>
          <w:szCs w:val="24"/>
        </w:rPr>
        <w:t xml:space="preserve">približno </w:t>
      </w:r>
      <w:r w:rsidRPr="005B26B0">
        <w:rPr>
          <w:rFonts w:ascii="Times New Roman" w:hAnsi="Times New Roman" w:cs="Times New Roman"/>
          <w:sz w:val="24"/>
          <w:szCs w:val="24"/>
        </w:rPr>
        <w:t>istom nivou kao za 202</w:t>
      </w:r>
      <w:r w:rsidR="00A8762C" w:rsidRPr="005B26B0">
        <w:rPr>
          <w:rFonts w:ascii="Times New Roman" w:hAnsi="Times New Roman" w:cs="Times New Roman"/>
          <w:sz w:val="24"/>
          <w:szCs w:val="24"/>
        </w:rPr>
        <w:t>3</w:t>
      </w:r>
      <w:r w:rsidRPr="005B26B0">
        <w:rPr>
          <w:rFonts w:ascii="Times New Roman" w:hAnsi="Times New Roman" w:cs="Times New Roman"/>
          <w:sz w:val="24"/>
          <w:szCs w:val="24"/>
        </w:rPr>
        <w:t>. godinu</w:t>
      </w:r>
      <w:r w:rsidR="005B26B0" w:rsidRPr="005B26B0">
        <w:rPr>
          <w:rFonts w:ascii="Times New Roman" w:hAnsi="Times New Roman" w:cs="Times New Roman"/>
          <w:sz w:val="24"/>
          <w:szCs w:val="24"/>
        </w:rPr>
        <w:t xml:space="preserve"> (+0,4%)</w:t>
      </w:r>
      <w:r w:rsidR="001F3085" w:rsidRPr="005B26B0">
        <w:rPr>
          <w:rFonts w:ascii="Times New Roman" w:hAnsi="Times New Roman" w:cs="Times New Roman"/>
          <w:sz w:val="24"/>
          <w:szCs w:val="24"/>
        </w:rPr>
        <w:t xml:space="preserve"> </w:t>
      </w:r>
      <w:r w:rsidRPr="005B26B0">
        <w:rPr>
          <w:rFonts w:ascii="Times New Roman" w:hAnsi="Times New Roman" w:cs="Times New Roman"/>
          <w:sz w:val="24"/>
          <w:szCs w:val="24"/>
        </w:rPr>
        <w:t xml:space="preserve">. Rashodi za zaposlene financirani iz </w:t>
      </w:r>
      <w:r w:rsidR="00A8762C" w:rsidRPr="005B26B0">
        <w:rPr>
          <w:rFonts w:ascii="Times New Roman" w:hAnsi="Times New Roman" w:cs="Times New Roman"/>
          <w:sz w:val="24"/>
          <w:szCs w:val="24"/>
        </w:rPr>
        <w:t xml:space="preserve">namjenskih i </w:t>
      </w:r>
      <w:r w:rsidRPr="005B26B0">
        <w:rPr>
          <w:rFonts w:ascii="Times New Roman" w:hAnsi="Times New Roman" w:cs="Times New Roman"/>
          <w:sz w:val="24"/>
          <w:szCs w:val="24"/>
        </w:rPr>
        <w:t xml:space="preserve">vlastitih prihoda će se povećavati sukladno povećanju </w:t>
      </w:r>
      <w:r w:rsidR="00A8762C" w:rsidRPr="005B26B0">
        <w:rPr>
          <w:rFonts w:ascii="Times New Roman" w:hAnsi="Times New Roman" w:cs="Times New Roman"/>
          <w:sz w:val="24"/>
          <w:szCs w:val="24"/>
        </w:rPr>
        <w:t>ovih</w:t>
      </w:r>
      <w:r w:rsidRPr="005B26B0">
        <w:rPr>
          <w:rFonts w:ascii="Times New Roman" w:hAnsi="Times New Roman" w:cs="Times New Roman"/>
          <w:sz w:val="24"/>
          <w:szCs w:val="24"/>
        </w:rPr>
        <w:t xml:space="preserve"> prihoda.</w:t>
      </w:r>
    </w:p>
    <w:p w:rsidR="00061A4D" w:rsidRPr="005B26B0" w:rsidRDefault="00061A4D" w:rsidP="006423E7">
      <w:pPr>
        <w:spacing w:after="46"/>
        <w:ind w:left="38" w:right="14"/>
        <w:jc w:val="both"/>
        <w:rPr>
          <w:rFonts w:ascii="Times New Roman" w:hAnsi="Times New Roman" w:cs="Times New Roman"/>
          <w:sz w:val="24"/>
          <w:szCs w:val="24"/>
        </w:rPr>
      </w:pPr>
      <w:r w:rsidRPr="005B26B0">
        <w:rPr>
          <w:rFonts w:ascii="Times New Roman" w:hAnsi="Times New Roman" w:cs="Times New Roman"/>
          <w:sz w:val="24"/>
          <w:szCs w:val="24"/>
        </w:rPr>
        <w:t xml:space="preserve">U podskupini računa 312 za </w:t>
      </w:r>
      <w:r w:rsidRPr="005B26B0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A8762C" w:rsidRPr="005B26B0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5B26B0">
        <w:rPr>
          <w:rFonts w:ascii="Times New Roman" w:hAnsi="Times New Roman" w:cs="Times New Roman"/>
          <w:color w:val="000000" w:themeColor="text1"/>
          <w:sz w:val="24"/>
          <w:szCs w:val="24"/>
        </w:rPr>
        <w:t>, 202</w:t>
      </w:r>
      <w:r w:rsidR="00A8762C" w:rsidRPr="005B26B0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5B26B0">
        <w:rPr>
          <w:rFonts w:ascii="Times New Roman" w:hAnsi="Times New Roman" w:cs="Times New Roman"/>
          <w:color w:val="000000" w:themeColor="text1"/>
          <w:sz w:val="24"/>
          <w:szCs w:val="24"/>
        </w:rPr>
        <w:t>. i 202</w:t>
      </w:r>
      <w:r w:rsidR="00A8762C" w:rsidRPr="005B26B0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5B26B0">
        <w:rPr>
          <w:rFonts w:ascii="Times New Roman" w:hAnsi="Times New Roman" w:cs="Times New Roman"/>
          <w:sz w:val="24"/>
          <w:szCs w:val="24"/>
        </w:rPr>
        <w:t xml:space="preserve">. godinu planirani su rashodi za jubilarne nagrade, darovi za djecu u prigodi dana sv. Nikole, otpremnine i naknade za bolest, invalidnost i smrtni slučaj, kao i neoporezivi dio nagrada za radne rezultate te paušalni troškovi prehrane. </w:t>
      </w:r>
      <w:r w:rsidR="00A8762C" w:rsidRPr="005B26B0">
        <w:rPr>
          <w:rFonts w:ascii="Times New Roman" w:hAnsi="Times New Roman" w:cs="Times New Roman"/>
          <w:sz w:val="24"/>
          <w:szCs w:val="24"/>
        </w:rPr>
        <w:lastRenderedPageBreak/>
        <w:t xml:space="preserve">Navedeno se financira dijelom iz Državnog proračuna, a dijelom iz </w:t>
      </w:r>
      <w:r w:rsidR="002B6A5F" w:rsidRPr="005B26B0">
        <w:rPr>
          <w:rFonts w:ascii="Times New Roman" w:hAnsi="Times New Roman" w:cs="Times New Roman"/>
          <w:sz w:val="24"/>
          <w:szCs w:val="24"/>
        </w:rPr>
        <w:t xml:space="preserve">vlastitih i namjenskih </w:t>
      </w:r>
      <w:proofErr w:type="spellStart"/>
      <w:r w:rsidR="00A8762C" w:rsidRPr="005B26B0">
        <w:rPr>
          <w:rFonts w:ascii="Times New Roman" w:hAnsi="Times New Roman" w:cs="Times New Roman"/>
          <w:sz w:val="24"/>
          <w:szCs w:val="24"/>
        </w:rPr>
        <w:t>namjenskih</w:t>
      </w:r>
      <w:proofErr w:type="spellEnd"/>
      <w:r w:rsidR="00A8762C" w:rsidRPr="005B26B0">
        <w:rPr>
          <w:rFonts w:ascii="Times New Roman" w:hAnsi="Times New Roman" w:cs="Times New Roman"/>
          <w:sz w:val="24"/>
          <w:szCs w:val="24"/>
        </w:rPr>
        <w:t xml:space="preserve"> sredstava </w:t>
      </w:r>
      <w:r w:rsidR="002B6A5F" w:rsidRPr="005B26B0">
        <w:rPr>
          <w:rFonts w:ascii="Times New Roman" w:hAnsi="Times New Roman" w:cs="Times New Roman"/>
          <w:sz w:val="24"/>
          <w:szCs w:val="24"/>
        </w:rPr>
        <w:t>(</w:t>
      </w:r>
      <w:r w:rsidR="00A8762C" w:rsidRPr="005B26B0">
        <w:rPr>
          <w:rFonts w:ascii="Times New Roman" w:hAnsi="Times New Roman" w:cs="Times New Roman"/>
          <w:sz w:val="24"/>
          <w:szCs w:val="24"/>
        </w:rPr>
        <w:t>školarin</w:t>
      </w:r>
      <w:r w:rsidR="002B6A5F" w:rsidRPr="005B26B0">
        <w:rPr>
          <w:rFonts w:ascii="Times New Roman" w:hAnsi="Times New Roman" w:cs="Times New Roman"/>
          <w:sz w:val="24"/>
          <w:szCs w:val="24"/>
        </w:rPr>
        <w:t>e)</w:t>
      </w:r>
      <w:r w:rsidR="00A8762C" w:rsidRPr="005B26B0">
        <w:rPr>
          <w:rFonts w:ascii="Times New Roman" w:hAnsi="Times New Roman" w:cs="Times New Roman"/>
          <w:sz w:val="24"/>
          <w:szCs w:val="24"/>
        </w:rPr>
        <w:t>.</w:t>
      </w:r>
    </w:p>
    <w:p w:rsidR="00061A4D" w:rsidRPr="005B26B0" w:rsidRDefault="00061A4D" w:rsidP="006423E7">
      <w:pPr>
        <w:ind w:left="38" w:right="14"/>
        <w:jc w:val="both"/>
        <w:rPr>
          <w:rFonts w:ascii="Times New Roman" w:hAnsi="Times New Roman" w:cs="Times New Roman"/>
          <w:sz w:val="24"/>
          <w:szCs w:val="24"/>
        </w:rPr>
      </w:pPr>
      <w:r w:rsidRPr="005B26B0">
        <w:rPr>
          <w:rFonts w:ascii="Times New Roman" w:hAnsi="Times New Roman" w:cs="Times New Roman"/>
          <w:sz w:val="24"/>
          <w:szCs w:val="24"/>
        </w:rPr>
        <w:t>Troškovi prijevoza na rad i s rada za zaposlenike planirani su u skladu s postojećim stanjem zaposlenih te planiranim novim zapošljavanjem</w:t>
      </w:r>
      <w:r w:rsidR="006423E7" w:rsidRPr="005B26B0">
        <w:rPr>
          <w:rFonts w:ascii="Times New Roman" w:hAnsi="Times New Roman" w:cs="Times New Roman"/>
          <w:sz w:val="24"/>
          <w:szCs w:val="24"/>
        </w:rPr>
        <w:t xml:space="preserve"> te se financiraju dijelom iz državnog proračuna a dijelom iz vlastitih i namjenskih sredstava</w:t>
      </w:r>
      <w:r w:rsidRPr="005B26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2C1E" w:rsidRPr="005B26B0" w:rsidRDefault="002B2C1E" w:rsidP="006423E7">
      <w:pPr>
        <w:spacing w:after="21" w:line="252" w:lineRule="auto"/>
        <w:ind w:left="28" w:right="67" w:firstLine="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6B0">
        <w:rPr>
          <w:rFonts w:ascii="Times New Roman" w:hAnsi="Times New Roman" w:cs="Times New Roman"/>
          <w:b/>
          <w:sz w:val="24"/>
          <w:szCs w:val="24"/>
        </w:rPr>
        <w:t>Materijalni rashodi (konta skupine 32)</w:t>
      </w:r>
    </w:p>
    <w:p w:rsidR="00061A4D" w:rsidRPr="005B26B0" w:rsidRDefault="00061A4D" w:rsidP="006423E7">
      <w:pPr>
        <w:spacing w:after="0"/>
        <w:ind w:left="38" w:right="14"/>
        <w:jc w:val="both"/>
        <w:rPr>
          <w:rFonts w:ascii="Times New Roman" w:hAnsi="Times New Roman" w:cs="Times New Roman"/>
          <w:sz w:val="24"/>
          <w:szCs w:val="24"/>
        </w:rPr>
      </w:pPr>
      <w:r w:rsidRPr="005B26B0">
        <w:rPr>
          <w:rFonts w:ascii="Times New Roman" w:hAnsi="Times New Roman" w:cs="Times New Roman"/>
          <w:sz w:val="24"/>
          <w:szCs w:val="24"/>
        </w:rPr>
        <w:t>Ukupni materijalni rashodi (grupa 32) planirani su na razini procjene ostvarenih rashoda</w:t>
      </w:r>
    </w:p>
    <w:p w:rsidR="00061A4D" w:rsidRPr="005B26B0" w:rsidRDefault="00061A4D" w:rsidP="006423E7">
      <w:pPr>
        <w:spacing w:after="0"/>
        <w:ind w:left="29"/>
        <w:jc w:val="both"/>
        <w:rPr>
          <w:rFonts w:ascii="Times New Roman" w:hAnsi="Times New Roman" w:cs="Times New Roman"/>
          <w:sz w:val="24"/>
          <w:szCs w:val="24"/>
        </w:rPr>
      </w:pPr>
      <w:r w:rsidRPr="005B26B0">
        <w:rPr>
          <w:rFonts w:ascii="Times New Roman" w:eastAsia="Courier New" w:hAnsi="Times New Roman" w:cs="Times New Roman"/>
          <w:sz w:val="24"/>
          <w:szCs w:val="24"/>
        </w:rPr>
        <w:t>u 202</w:t>
      </w:r>
      <w:r w:rsidR="00A8762C" w:rsidRPr="005B26B0">
        <w:rPr>
          <w:rFonts w:ascii="Times New Roman" w:eastAsia="Courier New" w:hAnsi="Times New Roman" w:cs="Times New Roman"/>
          <w:sz w:val="24"/>
          <w:szCs w:val="24"/>
        </w:rPr>
        <w:t>1</w:t>
      </w:r>
      <w:r w:rsidRPr="005B26B0">
        <w:rPr>
          <w:rFonts w:ascii="Times New Roman" w:eastAsia="Courier New" w:hAnsi="Times New Roman" w:cs="Times New Roman"/>
          <w:sz w:val="24"/>
          <w:szCs w:val="24"/>
        </w:rPr>
        <w:t>. godini</w:t>
      </w:r>
      <w:r w:rsidR="00A8762C" w:rsidRPr="005B26B0">
        <w:rPr>
          <w:rFonts w:ascii="Times New Roman" w:eastAsia="Courier New" w:hAnsi="Times New Roman" w:cs="Times New Roman"/>
          <w:sz w:val="24"/>
          <w:szCs w:val="24"/>
        </w:rPr>
        <w:t xml:space="preserve"> sa uvećanjem za rashode potrebne za realizaciju projekata koji su u tijeku.</w:t>
      </w:r>
    </w:p>
    <w:p w:rsidR="00061A4D" w:rsidRPr="005B26B0" w:rsidRDefault="00061A4D" w:rsidP="006423E7">
      <w:pPr>
        <w:spacing w:after="0"/>
        <w:ind w:left="38" w:right="14"/>
        <w:jc w:val="both"/>
        <w:rPr>
          <w:rFonts w:ascii="Times New Roman" w:hAnsi="Times New Roman" w:cs="Times New Roman"/>
          <w:sz w:val="24"/>
          <w:szCs w:val="24"/>
        </w:rPr>
      </w:pPr>
      <w:r w:rsidRPr="005B26B0">
        <w:rPr>
          <w:rFonts w:ascii="Times New Roman" w:hAnsi="Times New Roman" w:cs="Times New Roman"/>
          <w:sz w:val="24"/>
          <w:szCs w:val="24"/>
        </w:rPr>
        <w:t xml:space="preserve">Rashodi koji će se financirati iz proračuna planirani su </w:t>
      </w:r>
      <w:r w:rsidRPr="005B26B0">
        <w:rPr>
          <w:rFonts w:ascii="Times New Roman" w:hAnsi="Times New Roman" w:cs="Times New Roman"/>
          <w:color w:val="000000" w:themeColor="text1"/>
          <w:sz w:val="24"/>
          <w:szCs w:val="24"/>
        </w:rPr>
        <w:t>za 202</w:t>
      </w:r>
      <w:r w:rsidR="00A8762C" w:rsidRPr="005B26B0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5B26B0">
        <w:rPr>
          <w:rFonts w:ascii="Times New Roman" w:hAnsi="Times New Roman" w:cs="Times New Roman"/>
          <w:color w:val="000000" w:themeColor="text1"/>
          <w:sz w:val="24"/>
          <w:szCs w:val="24"/>
        </w:rPr>
        <w:t>, 202</w:t>
      </w:r>
      <w:r w:rsidR="00A8762C" w:rsidRPr="005B26B0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5B26B0">
        <w:rPr>
          <w:rFonts w:ascii="Times New Roman" w:hAnsi="Times New Roman" w:cs="Times New Roman"/>
          <w:color w:val="000000" w:themeColor="text1"/>
          <w:sz w:val="24"/>
          <w:szCs w:val="24"/>
        </w:rPr>
        <w:t>. i 202</w:t>
      </w:r>
      <w:r w:rsidR="00A8762C" w:rsidRPr="005B26B0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5B26B0">
        <w:rPr>
          <w:rFonts w:ascii="Times New Roman" w:hAnsi="Times New Roman" w:cs="Times New Roman"/>
          <w:sz w:val="24"/>
          <w:szCs w:val="24"/>
        </w:rPr>
        <w:t>. godinu u zadanim limitima.</w:t>
      </w:r>
    </w:p>
    <w:p w:rsidR="00061A4D" w:rsidRPr="005B26B0" w:rsidRDefault="00061A4D" w:rsidP="006423E7">
      <w:pPr>
        <w:spacing w:after="0"/>
        <w:ind w:left="38" w:right="14"/>
        <w:jc w:val="both"/>
        <w:rPr>
          <w:rFonts w:ascii="Times New Roman" w:hAnsi="Times New Roman" w:cs="Times New Roman"/>
          <w:sz w:val="24"/>
          <w:szCs w:val="24"/>
        </w:rPr>
      </w:pPr>
      <w:r w:rsidRPr="005B26B0">
        <w:rPr>
          <w:rFonts w:ascii="Times New Roman" w:hAnsi="Times New Roman" w:cs="Times New Roman"/>
          <w:sz w:val="24"/>
          <w:szCs w:val="24"/>
        </w:rPr>
        <w:t xml:space="preserve">Budući da predloženi limiti za financiranje redovne djelatnosti iz proračuna nisu dovoljni za pokriće ukupnih troškova obavljanja redovne djelatnosti Fakulteta, u planu je predviđeno da se manjak prihoda iz proračuna za troškove poslovanja grupe 32 podmiri iz </w:t>
      </w:r>
      <w:r w:rsidR="002B6A5F" w:rsidRPr="005B26B0">
        <w:rPr>
          <w:rFonts w:ascii="Times New Roman" w:hAnsi="Times New Roman" w:cs="Times New Roman"/>
          <w:sz w:val="24"/>
          <w:szCs w:val="24"/>
        </w:rPr>
        <w:t xml:space="preserve">vlastitih i </w:t>
      </w:r>
      <w:r w:rsidRPr="005B26B0">
        <w:rPr>
          <w:rFonts w:ascii="Times New Roman" w:hAnsi="Times New Roman" w:cs="Times New Roman"/>
          <w:sz w:val="24"/>
          <w:szCs w:val="24"/>
        </w:rPr>
        <w:t>namjenskih prihoda.</w:t>
      </w:r>
    </w:p>
    <w:p w:rsidR="00061A4D" w:rsidRPr="005B26B0" w:rsidRDefault="00061A4D" w:rsidP="006423E7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</w:pPr>
      <w:r w:rsidRPr="005B26B0">
        <w:rPr>
          <w:rFonts w:ascii="Times New Roman" w:hAnsi="Times New Roman" w:cs="Times New Roman"/>
          <w:sz w:val="24"/>
          <w:szCs w:val="24"/>
        </w:rPr>
        <w:t xml:space="preserve">Planirane intelektualne i osobne usluge (konto 3237) najvećim dijelom se odnose na troškove vanjskih suradnika </w:t>
      </w:r>
      <w:r w:rsidR="006C6845" w:rsidRPr="005B26B0">
        <w:rPr>
          <w:rFonts w:ascii="Times New Roman" w:hAnsi="Times New Roman" w:cs="Times New Roman"/>
          <w:sz w:val="24"/>
          <w:szCs w:val="24"/>
        </w:rPr>
        <w:t>te</w:t>
      </w:r>
      <w:r w:rsidR="006423E7" w:rsidRPr="005B26B0">
        <w:rPr>
          <w:rFonts w:ascii="Times New Roman" w:hAnsi="Times New Roman" w:cs="Times New Roman"/>
          <w:sz w:val="24"/>
          <w:szCs w:val="24"/>
        </w:rPr>
        <w:t xml:space="preserve"> na</w:t>
      </w:r>
      <w:r w:rsidR="006C6845" w:rsidRPr="005B26B0">
        <w:rPr>
          <w:rFonts w:ascii="Times New Roman" w:hAnsi="Times New Roman" w:cs="Times New Roman"/>
          <w:sz w:val="24"/>
          <w:szCs w:val="24"/>
        </w:rPr>
        <w:t xml:space="preserve"> ostale intelektualne usluge na EU projektu Medicinska+. </w:t>
      </w:r>
      <w:r w:rsidR="006423E7" w:rsidRPr="005B26B0">
        <w:rPr>
          <w:rFonts w:ascii="Times New Roman" w:hAnsi="Times New Roman" w:cs="Times New Roman"/>
          <w:sz w:val="24"/>
          <w:szCs w:val="24"/>
        </w:rPr>
        <w:t>U okviru materijalnih rashoda ovo je najveći pojed</w:t>
      </w:r>
      <w:r w:rsidR="001C2688" w:rsidRPr="005B26B0">
        <w:rPr>
          <w:rFonts w:ascii="Times New Roman" w:hAnsi="Times New Roman" w:cs="Times New Roman"/>
          <w:sz w:val="24"/>
          <w:szCs w:val="24"/>
        </w:rPr>
        <w:t>i</w:t>
      </w:r>
      <w:r w:rsidR="006423E7" w:rsidRPr="005B26B0">
        <w:rPr>
          <w:rFonts w:ascii="Times New Roman" w:hAnsi="Times New Roman" w:cs="Times New Roman"/>
          <w:sz w:val="24"/>
          <w:szCs w:val="24"/>
        </w:rPr>
        <w:t xml:space="preserve">načni trošak </w:t>
      </w:r>
      <w:r w:rsidRPr="005B26B0">
        <w:rPr>
          <w:rFonts w:ascii="Times New Roman" w:hAnsi="Times New Roman" w:cs="Times New Roman"/>
          <w:sz w:val="24"/>
          <w:szCs w:val="24"/>
        </w:rPr>
        <w:t xml:space="preserve"> </w:t>
      </w:r>
      <w:r w:rsidR="006423E7" w:rsidRPr="005B26B0">
        <w:rPr>
          <w:rFonts w:ascii="Times New Roman" w:hAnsi="Times New Roman" w:cs="Times New Roman"/>
          <w:sz w:val="24"/>
          <w:szCs w:val="24"/>
        </w:rPr>
        <w:t>(</w:t>
      </w:r>
      <w:r w:rsidR="00340357" w:rsidRPr="005B26B0">
        <w:rPr>
          <w:rFonts w:ascii="Times New Roman" w:hAnsi="Times New Roman" w:cs="Times New Roman"/>
          <w:sz w:val="24"/>
          <w:szCs w:val="24"/>
        </w:rPr>
        <w:t>4</w:t>
      </w:r>
      <w:r w:rsidR="005B26B0" w:rsidRPr="005B26B0">
        <w:rPr>
          <w:rFonts w:ascii="Times New Roman" w:hAnsi="Times New Roman" w:cs="Times New Roman"/>
          <w:sz w:val="24"/>
          <w:szCs w:val="24"/>
        </w:rPr>
        <w:t>5</w:t>
      </w:r>
      <w:r w:rsidR="006423E7" w:rsidRPr="005B26B0">
        <w:rPr>
          <w:rFonts w:ascii="Times New Roman" w:hAnsi="Times New Roman" w:cs="Times New Roman"/>
          <w:sz w:val="24"/>
          <w:szCs w:val="24"/>
        </w:rPr>
        <w:t>% od ukupnih materijalnih rashoda) k</w:t>
      </w:r>
      <w:r w:rsidRPr="005B26B0">
        <w:rPr>
          <w:rFonts w:ascii="Times New Roman" w:hAnsi="Times New Roman" w:cs="Times New Roman"/>
          <w:sz w:val="24"/>
          <w:szCs w:val="24"/>
        </w:rPr>
        <w:t xml:space="preserve">oji </w:t>
      </w:r>
      <w:r w:rsidR="00340357" w:rsidRPr="005B26B0">
        <w:rPr>
          <w:rFonts w:ascii="Times New Roman" w:hAnsi="Times New Roman" w:cs="Times New Roman"/>
          <w:sz w:val="24"/>
          <w:szCs w:val="24"/>
        </w:rPr>
        <w:t>se</w:t>
      </w:r>
      <w:r w:rsidRPr="005B26B0">
        <w:rPr>
          <w:rFonts w:ascii="Times New Roman" w:hAnsi="Times New Roman" w:cs="Times New Roman"/>
          <w:sz w:val="24"/>
          <w:szCs w:val="24"/>
        </w:rPr>
        <w:t xml:space="preserve"> većim dijelom</w:t>
      </w:r>
      <w:r w:rsidR="006C6845" w:rsidRPr="005B26B0">
        <w:rPr>
          <w:rFonts w:ascii="Times New Roman" w:hAnsi="Times New Roman" w:cs="Times New Roman"/>
          <w:sz w:val="24"/>
          <w:szCs w:val="24"/>
        </w:rPr>
        <w:t xml:space="preserve"> financira </w:t>
      </w:r>
      <w:r w:rsidRPr="005B26B0">
        <w:rPr>
          <w:rFonts w:ascii="Times New Roman" w:hAnsi="Times New Roman" w:cs="Times New Roman"/>
          <w:sz w:val="24"/>
          <w:szCs w:val="24"/>
        </w:rPr>
        <w:t xml:space="preserve"> iz </w:t>
      </w:r>
      <w:r w:rsidR="006C6845" w:rsidRPr="005B26B0">
        <w:rPr>
          <w:rFonts w:ascii="Times New Roman" w:hAnsi="Times New Roman" w:cs="Times New Roman"/>
          <w:sz w:val="24"/>
          <w:szCs w:val="24"/>
        </w:rPr>
        <w:t>EU projekta Medicinska + (intelektualne usluge</w:t>
      </w:r>
      <w:r w:rsidR="002B6A5F" w:rsidRPr="005B26B0">
        <w:rPr>
          <w:rFonts w:ascii="Times New Roman" w:hAnsi="Times New Roman" w:cs="Times New Roman"/>
          <w:sz w:val="24"/>
          <w:szCs w:val="24"/>
        </w:rPr>
        <w:t xml:space="preserve"> prema proračunu projekta</w:t>
      </w:r>
      <w:r w:rsidR="006C6845" w:rsidRPr="005B26B0">
        <w:rPr>
          <w:rFonts w:ascii="Times New Roman" w:hAnsi="Times New Roman" w:cs="Times New Roman"/>
          <w:sz w:val="24"/>
          <w:szCs w:val="24"/>
        </w:rPr>
        <w:t xml:space="preserve">), dok se rashodi vanjske suradnje u nastavi financiraju dijelom  iz </w:t>
      </w:r>
      <w:r w:rsidRPr="005B26B0">
        <w:rPr>
          <w:rFonts w:ascii="Times New Roman" w:hAnsi="Times New Roman" w:cs="Times New Roman"/>
          <w:sz w:val="24"/>
          <w:szCs w:val="24"/>
        </w:rPr>
        <w:t>namjenskih prihoda</w:t>
      </w:r>
      <w:r w:rsidR="006C6845" w:rsidRPr="005B26B0">
        <w:rPr>
          <w:rFonts w:ascii="Times New Roman" w:hAnsi="Times New Roman" w:cs="Times New Roman"/>
          <w:sz w:val="24"/>
          <w:szCs w:val="24"/>
        </w:rPr>
        <w:t xml:space="preserve"> te </w:t>
      </w:r>
      <w:r w:rsidR="006423E7" w:rsidRPr="005B26B0">
        <w:rPr>
          <w:rFonts w:ascii="Times New Roman" w:hAnsi="Times New Roman" w:cs="Times New Roman"/>
          <w:sz w:val="24"/>
          <w:szCs w:val="24"/>
        </w:rPr>
        <w:t xml:space="preserve">dijelom </w:t>
      </w:r>
      <w:r w:rsidR="006C6845" w:rsidRPr="005B26B0">
        <w:rPr>
          <w:rFonts w:ascii="Times New Roman" w:hAnsi="Times New Roman" w:cs="Times New Roman"/>
          <w:sz w:val="24"/>
          <w:szCs w:val="24"/>
        </w:rPr>
        <w:t xml:space="preserve">iz </w:t>
      </w:r>
      <w:r w:rsidR="006423E7" w:rsidRPr="005B26B0">
        <w:rPr>
          <w:rFonts w:ascii="Times New Roman" w:hAnsi="Times New Roman" w:cs="Times New Roman"/>
          <w:sz w:val="24"/>
          <w:szCs w:val="24"/>
        </w:rPr>
        <w:t xml:space="preserve">državnog </w:t>
      </w:r>
      <w:r w:rsidR="006C6845" w:rsidRPr="005B26B0">
        <w:rPr>
          <w:rFonts w:ascii="Times New Roman" w:hAnsi="Times New Roman" w:cs="Times New Roman"/>
          <w:sz w:val="24"/>
          <w:szCs w:val="24"/>
        </w:rPr>
        <w:t>proračuna.</w:t>
      </w:r>
      <w:r w:rsidRPr="005B26B0">
        <w:rPr>
          <w:rFonts w:ascii="Times New Roman" w:hAnsi="Times New Roman" w:cs="Times New Roman"/>
          <w:sz w:val="24"/>
          <w:szCs w:val="24"/>
        </w:rPr>
        <w:t xml:space="preserve">. Osim vanjskih suradnika u nastavi ovdje su uključeni i studentski ugovori, usluge nastave koje se održavaju u Klinici </w:t>
      </w:r>
      <w:proofErr w:type="spellStart"/>
      <w:r w:rsidRPr="005B26B0">
        <w:rPr>
          <w:rFonts w:ascii="Times New Roman" w:hAnsi="Times New Roman" w:cs="Times New Roman"/>
          <w:sz w:val="24"/>
          <w:szCs w:val="24"/>
        </w:rPr>
        <w:t>Regiomed</w:t>
      </w:r>
      <w:proofErr w:type="spellEnd"/>
      <w:r w:rsidRPr="005B26B0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5B26B0">
        <w:rPr>
          <w:rFonts w:ascii="Times New Roman" w:hAnsi="Times New Roman" w:cs="Times New Roman"/>
          <w:sz w:val="24"/>
          <w:szCs w:val="24"/>
        </w:rPr>
        <w:t>Coburgu</w:t>
      </w:r>
      <w:proofErr w:type="spellEnd"/>
      <w:r w:rsidRPr="005B26B0">
        <w:rPr>
          <w:rFonts w:ascii="Times New Roman" w:hAnsi="Times New Roman" w:cs="Times New Roman"/>
          <w:sz w:val="24"/>
          <w:szCs w:val="24"/>
        </w:rPr>
        <w:t xml:space="preserve"> u Njemačkoj, usluge tehničke podrške u provođenju EU projekata te autorski honorari.</w:t>
      </w:r>
    </w:p>
    <w:p w:rsidR="002B6A5F" w:rsidRPr="005B26B0" w:rsidRDefault="00061A4D" w:rsidP="00310E1F">
      <w:pPr>
        <w:spacing w:after="0"/>
        <w:ind w:left="38" w:right="14"/>
        <w:jc w:val="both"/>
        <w:rPr>
          <w:rFonts w:ascii="Times New Roman" w:hAnsi="Times New Roman" w:cs="Times New Roman"/>
          <w:sz w:val="24"/>
          <w:szCs w:val="24"/>
        </w:rPr>
      </w:pPr>
      <w:r w:rsidRPr="005B26B0">
        <w:rPr>
          <w:rFonts w:ascii="Times New Roman" w:hAnsi="Times New Roman" w:cs="Times New Roman"/>
          <w:b/>
          <w:sz w:val="24"/>
          <w:szCs w:val="24"/>
        </w:rPr>
        <w:t>Rashodi za nabavu dugotrajne imovine (</w:t>
      </w:r>
      <w:r w:rsidR="002B2C1E" w:rsidRPr="005B26B0">
        <w:rPr>
          <w:rFonts w:ascii="Times New Roman" w:hAnsi="Times New Roman" w:cs="Times New Roman"/>
          <w:b/>
          <w:sz w:val="24"/>
          <w:szCs w:val="24"/>
        </w:rPr>
        <w:t>konta skupine 42</w:t>
      </w:r>
      <w:r w:rsidRPr="005B26B0">
        <w:rPr>
          <w:rFonts w:ascii="Times New Roman" w:hAnsi="Times New Roman" w:cs="Times New Roman"/>
          <w:sz w:val="24"/>
          <w:szCs w:val="24"/>
        </w:rPr>
        <w:t xml:space="preserve">) financirat će se uglavnom iz </w:t>
      </w:r>
      <w:r w:rsidR="006C6845" w:rsidRPr="005B26B0">
        <w:rPr>
          <w:rFonts w:ascii="Times New Roman" w:hAnsi="Times New Roman" w:cs="Times New Roman"/>
          <w:sz w:val="24"/>
          <w:szCs w:val="24"/>
        </w:rPr>
        <w:t xml:space="preserve">EU </w:t>
      </w:r>
      <w:r w:rsidR="002B6A5F" w:rsidRPr="005B26B0">
        <w:rPr>
          <w:rFonts w:ascii="Times New Roman" w:hAnsi="Times New Roman" w:cs="Times New Roman"/>
          <w:sz w:val="24"/>
          <w:szCs w:val="24"/>
        </w:rPr>
        <w:t xml:space="preserve">i HRZZ </w:t>
      </w:r>
      <w:r w:rsidR="006C6845" w:rsidRPr="005B26B0">
        <w:rPr>
          <w:rFonts w:ascii="Times New Roman" w:hAnsi="Times New Roman" w:cs="Times New Roman"/>
          <w:sz w:val="24"/>
          <w:szCs w:val="24"/>
        </w:rPr>
        <w:t xml:space="preserve">projekata, </w:t>
      </w:r>
      <w:r w:rsidRPr="005B26B0">
        <w:rPr>
          <w:rFonts w:ascii="Times New Roman" w:hAnsi="Times New Roman" w:cs="Times New Roman"/>
          <w:sz w:val="24"/>
          <w:szCs w:val="24"/>
        </w:rPr>
        <w:t>sredstava za</w:t>
      </w:r>
      <w:r w:rsidR="002B6A5F" w:rsidRPr="005B26B0">
        <w:rPr>
          <w:rFonts w:ascii="Times New Roman" w:hAnsi="Times New Roman" w:cs="Times New Roman"/>
          <w:sz w:val="24"/>
          <w:szCs w:val="24"/>
        </w:rPr>
        <w:t xml:space="preserve"> </w:t>
      </w:r>
      <w:r w:rsidRPr="005B26B0">
        <w:rPr>
          <w:rFonts w:ascii="Times New Roman" w:hAnsi="Times New Roman" w:cs="Times New Roman"/>
          <w:sz w:val="24"/>
          <w:szCs w:val="24"/>
        </w:rPr>
        <w:t>institucionalno financiranje znanosti</w:t>
      </w:r>
      <w:r w:rsidR="006C6845" w:rsidRPr="005B26B0">
        <w:rPr>
          <w:rFonts w:ascii="Times New Roman" w:hAnsi="Times New Roman" w:cs="Times New Roman"/>
          <w:sz w:val="24"/>
          <w:szCs w:val="24"/>
        </w:rPr>
        <w:t xml:space="preserve"> te vlastitih i namjenskih prihoda.</w:t>
      </w:r>
    </w:p>
    <w:p w:rsidR="00AB00F0" w:rsidRDefault="00AB00F0" w:rsidP="007258A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58A1" w:rsidRPr="008F2499" w:rsidRDefault="00AE6400" w:rsidP="007258A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7258A1" w:rsidRPr="008F2499">
        <w:rPr>
          <w:rFonts w:ascii="Times New Roman" w:hAnsi="Times New Roman" w:cs="Times New Roman"/>
          <w:b/>
          <w:sz w:val="24"/>
          <w:szCs w:val="24"/>
        </w:rPr>
        <w:t>RIJENOS SREDSTAVA IZ PRETHODNE I U SLJEDEĆU GODINU (EUR)</w:t>
      </w:r>
    </w:p>
    <w:p w:rsidR="00F471E7" w:rsidRPr="009256FD" w:rsidRDefault="00600F3A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6FD">
        <w:rPr>
          <w:rFonts w:ascii="Times New Roman" w:hAnsi="Times New Roman" w:cs="Times New Roman"/>
          <w:sz w:val="24"/>
          <w:szCs w:val="24"/>
        </w:rPr>
        <w:t>Obrazloženje</w:t>
      </w:r>
      <w:r w:rsidR="00AB00F0" w:rsidRPr="009256FD">
        <w:rPr>
          <w:rFonts w:ascii="Times New Roman" w:hAnsi="Times New Roman" w:cs="Times New Roman"/>
          <w:sz w:val="24"/>
          <w:szCs w:val="24"/>
        </w:rPr>
        <w:t xml:space="preserve"> izvršenja</w:t>
      </w:r>
      <w:r w:rsidRPr="009256FD">
        <w:rPr>
          <w:rFonts w:ascii="Times New Roman" w:hAnsi="Times New Roman" w:cs="Times New Roman"/>
          <w:sz w:val="24"/>
          <w:szCs w:val="24"/>
        </w:rPr>
        <w:t xml:space="preserve"> prijenosa</w:t>
      </w:r>
      <w:r w:rsidR="00AB00F0" w:rsidRPr="009256FD">
        <w:rPr>
          <w:rFonts w:ascii="Times New Roman" w:hAnsi="Times New Roman" w:cs="Times New Roman"/>
          <w:sz w:val="24"/>
          <w:szCs w:val="24"/>
        </w:rPr>
        <w:t xml:space="preserve"> sredstava</w:t>
      </w:r>
      <w:r w:rsidRPr="009256FD">
        <w:rPr>
          <w:rFonts w:ascii="Times New Roman" w:hAnsi="Times New Roman" w:cs="Times New Roman"/>
          <w:sz w:val="24"/>
          <w:szCs w:val="24"/>
        </w:rPr>
        <w:t xml:space="preserve"> iz prethodne godine i prijenosa sredstava u slijedeće razdoblje za razdoblje 01-06/2023</w:t>
      </w:r>
      <w:r w:rsidR="00CB596E" w:rsidRPr="009256FD">
        <w:rPr>
          <w:rFonts w:ascii="Times New Roman" w:hAnsi="Times New Roman" w:cs="Times New Roman"/>
          <w:sz w:val="24"/>
          <w:szCs w:val="24"/>
        </w:rPr>
        <w:t>.</w:t>
      </w:r>
      <w:r w:rsidRPr="009256FD">
        <w:rPr>
          <w:rFonts w:ascii="Times New Roman" w:hAnsi="Times New Roman" w:cs="Times New Roman"/>
          <w:sz w:val="24"/>
          <w:szCs w:val="24"/>
        </w:rPr>
        <w:t>:</w:t>
      </w:r>
    </w:p>
    <w:p w:rsidR="00600F3A" w:rsidRPr="008F2499" w:rsidRDefault="00600F3A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5"/>
        <w:gridCol w:w="56"/>
        <w:gridCol w:w="2399"/>
        <w:gridCol w:w="69"/>
        <w:gridCol w:w="1559"/>
        <w:gridCol w:w="77"/>
        <w:gridCol w:w="1624"/>
        <w:gridCol w:w="51"/>
        <w:gridCol w:w="1650"/>
        <w:gridCol w:w="70"/>
      </w:tblGrid>
      <w:tr w:rsidR="00600F3A" w:rsidRPr="00875587" w:rsidTr="009256FD">
        <w:trPr>
          <w:gridAfter w:val="1"/>
          <w:wAfter w:w="70" w:type="dxa"/>
          <w:trHeight w:val="510"/>
        </w:trPr>
        <w:tc>
          <w:tcPr>
            <w:tcW w:w="1015" w:type="dxa"/>
            <w:shd w:val="clear" w:color="auto" w:fill="auto"/>
            <w:vAlign w:val="center"/>
            <w:hideMark/>
          </w:tcPr>
          <w:p w:rsidR="00600F3A" w:rsidRPr="00875587" w:rsidRDefault="00600F3A" w:rsidP="0060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GB" w:eastAsia="en-GB"/>
              </w:rPr>
            </w:pPr>
            <w:r w:rsidRPr="0087558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524" w:type="dxa"/>
            <w:gridSpan w:val="3"/>
            <w:shd w:val="clear" w:color="auto" w:fill="auto"/>
            <w:vAlign w:val="center"/>
            <w:hideMark/>
          </w:tcPr>
          <w:p w:rsidR="00600F3A" w:rsidRPr="00875587" w:rsidRDefault="00600F3A" w:rsidP="0060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GB" w:eastAsia="en-GB"/>
              </w:rPr>
            </w:pPr>
            <w:r w:rsidRPr="0087558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00F3A" w:rsidRPr="00875587" w:rsidRDefault="00600F3A" w:rsidP="00600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875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 xml:space="preserve"> Izvršenje 01-06/ 2022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600F3A" w:rsidRPr="00875587" w:rsidRDefault="00600F3A" w:rsidP="0069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875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Plan   2023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691A0F" w:rsidRDefault="00600F3A" w:rsidP="0069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proofErr w:type="spellStart"/>
            <w:r w:rsidRPr="00875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Izvršenje</w:t>
            </w:r>
            <w:proofErr w:type="spellEnd"/>
            <w:r w:rsidRPr="00875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 xml:space="preserve"> </w:t>
            </w:r>
          </w:p>
          <w:p w:rsidR="00600F3A" w:rsidRPr="00875587" w:rsidRDefault="00600F3A" w:rsidP="0069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875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01-06/ 2023</w:t>
            </w:r>
          </w:p>
        </w:tc>
      </w:tr>
      <w:tr w:rsidR="00600F3A" w:rsidRPr="00600F3A" w:rsidTr="005166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9"/>
        </w:trPr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F3A" w:rsidRPr="00875587" w:rsidRDefault="00600F3A" w:rsidP="00600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875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DONOS</w:t>
            </w:r>
          </w:p>
        </w:tc>
        <w:tc>
          <w:tcPr>
            <w:tcW w:w="2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F3A" w:rsidRPr="00875587" w:rsidRDefault="00600F3A" w:rsidP="00600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875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PRIJENOS SREDSTAVA IZ PRETHODNE GODINE</w:t>
            </w: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F3A" w:rsidRPr="005166A7" w:rsidRDefault="00740029" w:rsidP="00600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16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3.066.285</w:t>
            </w:r>
            <w:r w:rsidR="00600F3A" w:rsidRPr="00516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6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F3A" w:rsidRPr="005166A7" w:rsidRDefault="00600F3A" w:rsidP="00600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16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1.666.734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F3A" w:rsidRPr="005166A7" w:rsidRDefault="00C83493" w:rsidP="00600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16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2.829.700</w:t>
            </w:r>
          </w:p>
        </w:tc>
      </w:tr>
      <w:tr w:rsidR="00600F3A" w:rsidRPr="008F2499" w:rsidTr="005166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9"/>
        </w:trPr>
        <w:tc>
          <w:tcPr>
            <w:tcW w:w="10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F3A" w:rsidRPr="00875587" w:rsidRDefault="00600F3A" w:rsidP="00600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875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ODNOS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F3A" w:rsidRPr="00875587" w:rsidRDefault="00600F3A" w:rsidP="00600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875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PRIJENOS SREDSTAVA U SLJEDEĆU GODINU</w:t>
            </w:r>
          </w:p>
        </w:tc>
        <w:tc>
          <w:tcPr>
            <w:tcW w:w="1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00F3A" w:rsidRPr="005166A7" w:rsidRDefault="00740029" w:rsidP="00600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16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-734.829</w:t>
            </w:r>
            <w:r w:rsidR="00600F3A" w:rsidRPr="00516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00F3A" w:rsidRPr="005166A7" w:rsidRDefault="00600F3A" w:rsidP="00600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16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-1.356.336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00F3A" w:rsidRPr="005166A7" w:rsidRDefault="0056668E" w:rsidP="00600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16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-1.749.023</w:t>
            </w:r>
          </w:p>
        </w:tc>
      </w:tr>
    </w:tbl>
    <w:p w:rsidR="00AE6400" w:rsidRDefault="00AE6400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F59" w:rsidRPr="005166A7" w:rsidRDefault="007C2F59" w:rsidP="00AB00F0">
      <w:pPr>
        <w:jc w:val="both"/>
      </w:pPr>
      <w:r w:rsidRPr="003F3E21">
        <w:rPr>
          <w:b/>
        </w:rPr>
        <w:t>Donos sredstava u razdoblju 01-06/2023</w:t>
      </w:r>
      <w:r w:rsidRPr="005166A7">
        <w:t xml:space="preserve"> ostvaren je u visini 9</w:t>
      </w:r>
      <w:r w:rsidR="0056668E" w:rsidRPr="005166A7">
        <w:t>2</w:t>
      </w:r>
      <w:r w:rsidRPr="005166A7">
        <w:t>% prošlogodišnjeg prijenosa. Usporedba sa planiranim podacima</w:t>
      </w:r>
      <w:r w:rsidR="00580A91" w:rsidRPr="005166A7">
        <w:t xml:space="preserve"> za 2023. godinu</w:t>
      </w:r>
      <w:r w:rsidRPr="005166A7">
        <w:t xml:space="preserve"> nije relevantna budući da se plan odnosi na stanje sredstava na kraju 2023. godine.</w:t>
      </w:r>
    </w:p>
    <w:p w:rsidR="00580A91" w:rsidRPr="005166A7" w:rsidRDefault="00580A91" w:rsidP="00AB00F0">
      <w:pPr>
        <w:jc w:val="both"/>
      </w:pPr>
      <w:r w:rsidRPr="005166A7">
        <w:lastRenderedPageBreak/>
        <w:t xml:space="preserve">Donos sredstava na početku 2023. godine </w:t>
      </w:r>
      <w:r w:rsidR="002D4BD7" w:rsidRPr="005166A7">
        <w:t>u iznosu od 2.</w:t>
      </w:r>
      <w:r w:rsidR="0056668E" w:rsidRPr="005166A7">
        <w:t>829.700</w:t>
      </w:r>
      <w:r w:rsidR="002D4BD7" w:rsidRPr="005166A7">
        <w:t xml:space="preserve"> EUR se</w:t>
      </w:r>
      <w:r w:rsidRPr="005166A7">
        <w:t xml:space="preserve"> odnosi na:</w:t>
      </w:r>
    </w:p>
    <w:p w:rsidR="00CB596E" w:rsidRDefault="00CB596E" w:rsidP="00AB00F0">
      <w:pPr>
        <w:jc w:val="both"/>
        <w:rPr>
          <w:b/>
          <w:highlight w:val="green"/>
        </w:rPr>
      </w:pPr>
    </w:p>
    <w:tbl>
      <w:tblPr>
        <w:tblW w:w="9379" w:type="dxa"/>
        <w:tblLook w:val="04A0" w:firstRow="1" w:lastRow="0" w:firstColumn="1" w:lastColumn="0" w:noHBand="0" w:noVBand="1"/>
      </w:tblPr>
      <w:tblGrid>
        <w:gridCol w:w="1160"/>
        <w:gridCol w:w="1189"/>
        <w:gridCol w:w="1203"/>
        <w:gridCol w:w="1232"/>
        <w:gridCol w:w="1145"/>
        <w:gridCol w:w="1145"/>
        <w:gridCol w:w="1164"/>
        <w:gridCol w:w="1256"/>
      </w:tblGrid>
      <w:tr w:rsidR="0056668E" w:rsidRPr="0056668E" w:rsidTr="0069577C">
        <w:trPr>
          <w:trHeight w:val="299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8E" w:rsidRPr="0056668E" w:rsidRDefault="0056668E" w:rsidP="00566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8E" w:rsidRPr="0056668E" w:rsidRDefault="0056668E" w:rsidP="00566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8E" w:rsidRPr="0056668E" w:rsidRDefault="0056668E" w:rsidP="00566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8E" w:rsidRPr="0056668E" w:rsidRDefault="0056668E" w:rsidP="00566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8E" w:rsidRPr="0056668E" w:rsidRDefault="0056668E" w:rsidP="00566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8E" w:rsidRPr="0056668E" w:rsidRDefault="0056668E" w:rsidP="00566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8E" w:rsidRPr="0056668E" w:rsidRDefault="0056668E" w:rsidP="00566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8E" w:rsidRPr="0056668E" w:rsidRDefault="0056668E" w:rsidP="005666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56668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EUR</w:t>
            </w:r>
          </w:p>
        </w:tc>
      </w:tr>
      <w:tr w:rsidR="0056668E" w:rsidRPr="0056668E" w:rsidTr="0069577C">
        <w:trPr>
          <w:trHeight w:val="614"/>
        </w:trPr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56668E" w:rsidRPr="0056668E" w:rsidRDefault="0056668E" w:rsidP="0056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666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IZVOR 31                  </w:t>
            </w:r>
            <w:proofErr w:type="spellStart"/>
            <w:r w:rsidRPr="005666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Vlastiti</w:t>
            </w:r>
            <w:proofErr w:type="spellEnd"/>
            <w:r w:rsidRPr="005666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5666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prihodi</w:t>
            </w:r>
            <w:proofErr w:type="spellEnd"/>
            <w:r w:rsidRPr="005666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 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56668E" w:rsidRPr="0056668E" w:rsidRDefault="0056668E" w:rsidP="0056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666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IZVOR 43                   </w:t>
            </w:r>
            <w:proofErr w:type="spellStart"/>
            <w:r w:rsidRPr="005666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Prihodi</w:t>
            </w:r>
            <w:proofErr w:type="spellEnd"/>
            <w:r w:rsidRPr="005666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 za </w:t>
            </w:r>
            <w:proofErr w:type="spellStart"/>
            <w:r w:rsidRPr="005666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posebne</w:t>
            </w:r>
            <w:proofErr w:type="spellEnd"/>
            <w:r w:rsidRPr="005666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5666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namjene</w:t>
            </w:r>
            <w:proofErr w:type="spellEnd"/>
            <w:r w:rsidRPr="005666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 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56668E" w:rsidRPr="0056668E" w:rsidRDefault="0056668E" w:rsidP="0056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666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IZVOR 51                              </w:t>
            </w:r>
            <w:proofErr w:type="spellStart"/>
            <w:r w:rsidRPr="005666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Pomoći</w:t>
            </w:r>
            <w:proofErr w:type="spellEnd"/>
            <w:r w:rsidRPr="005666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 EU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56668E" w:rsidRPr="0056668E" w:rsidRDefault="0056668E" w:rsidP="0056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666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IZVOR 52                              </w:t>
            </w:r>
            <w:proofErr w:type="spellStart"/>
            <w:r w:rsidRPr="005666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Ostale</w:t>
            </w:r>
            <w:proofErr w:type="spellEnd"/>
            <w:r w:rsidRPr="005666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5666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pomoći</w:t>
            </w:r>
            <w:proofErr w:type="spellEnd"/>
            <w:r w:rsidRPr="005666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 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56668E" w:rsidRPr="0056668E" w:rsidRDefault="0056668E" w:rsidP="0056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666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IZVOR 61                              </w:t>
            </w:r>
            <w:proofErr w:type="spellStart"/>
            <w:r w:rsidRPr="005666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Donacije</w:t>
            </w:r>
            <w:proofErr w:type="spellEnd"/>
            <w:r w:rsidRPr="005666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 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56668E" w:rsidRPr="0056668E" w:rsidRDefault="0056668E" w:rsidP="0056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666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IZVOR 11 </w:t>
            </w:r>
            <w:proofErr w:type="spellStart"/>
            <w:r w:rsidRPr="005666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Opći</w:t>
            </w:r>
            <w:proofErr w:type="spellEnd"/>
            <w:r w:rsidRPr="005666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5666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prihodi</w:t>
            </w:r>
            <w:proofErr w:type="spellEnd"/>
            <w:r w:rsidRPr="005666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5666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i</w:t>
            </w:r>
            <w:proofErr w:type="spellEnd"/>
            <w:r w:rsidRPr="005666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5666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primici</w:t>
            </w:r>
            <w:proofErr w:type="spellEnd"/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56668E" w:rsidRPr="0056668E" w:rsidRDefault="0056668E" w:rsidP="0056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666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IZVOR </w:t>
            </w:r>
            <w:proofErr w:type="gramStart"/>
            <w:r w:rsidRPr="005666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561  </w:t>
            </w:r>
            <w:proofErr w:type="spellStart"/>
            <w:r w:rsidRPr="005666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Europski</w:t>
            </w:r>
            <w:proofErr w:type="spellEnd"/>
            <w:proofErr w:type="gramEnd"/>
            <w:r w:rsidRPr="005666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5666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socijalni</w:t>
            </w:r>
            <w:proofErr w:type="spellEnd"/>
            <w:r w:rsidRPr="005666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 fond (ESF)   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56668E" w:rsidRPr="0056668E" w:rsidRDefault="0056668E" w:rsidP="0056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666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UKUPNO DONOS</w:t>
            </w:r>
          </w:p>
        </w:tc>
      </w:tr>
      <w:tr w:rsidR="0056668E" w:rsidRPr="0056668E" w:rsidTr="0069577C">
        <w:trPr>
          <w:trHeight w:val="464"/>
        </w:trPr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68E" w:rsidRPr="0056668E" w:rsidRDefault="0056668E" w:rsidP="00566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68E" w:rsidRPr="0056668E" w:rsidRDefault="0056668E" w:rsidP="00566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68E" w:rsidRPr="0056668E" w:rsidRDefault="0056668E" w:rsidP="00566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68E" w:rsidRPr="0056668E" w:rsidRDefault="0056668E" w:rsidP="00566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68E" w:rsidRPr="0056668E" w:rsidRDefault="0056668E" w:rsidP="00566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68E" w:rsidRPr="0056668E" w:rsidRDefault="0056668E" w:rsidP="00566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68E" w:rsidRPr="0056668E" w:rsidRDefault="0056668E" w:rsidP="00566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68E" w:rsidRPr="0056668E" w:rsidRDefault="0056668E" w:rsidP="00566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56668E" w:rsidRPr="0056668E" w:rsidTr="0069577C">
        <w:trPr>
          <w:trHeight w:val="958"/>
        </w:trPr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68E" w:rsidRPr="0056668E" w:rsidRDefault="0056668E" w:rsidP="00566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68E" w:rsidRPr="0056668E" w:rsidRDefault="0056668E" w:rsidP="00566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68E" w:rsidRPr="0056668E" w:rsidRDefault="0056668E" w:rsidP="00566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68E" w:rsidRPr="0056668E" w:rsidRDefault="0056668E" w:rsidP="00566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68E" w:rsidRPr="0056668E" w:rsidRDefault="0056668E" w:rsidP="00566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68E" w:rsidRPr="0056668E" w:rsidRDefault="0056668E" w:rsidP="00566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68E" w:rsidRPr="0056668E" w:rsidRDefault="0056668E" w:rsidP="00566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68E" w:rsidRPr="0056668E" w:rsidRDefault="0056668E" w:rsidP="00566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56668E" w:rsidRPr="0056668E" w:rsidTr="0069577C">
        <w:trPr>
          <w:trHeight w:val="50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6668E" w:rsidRPr="0056668E" w:rsidRDefault="0056668E" w:rsidP="0056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6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329.042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6668E" w:rsidRPr="0056668E" w:rsidRDefault="0056668E" w:rsidP="0056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6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1.252.020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6668E" w:rsidRPr="0056668E" w:rsidRDefault="0056668E" w:rsidP="0056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6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620.709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6668E" w:rsidRPr="0056668E" w:rsidRDefault="0056668E" w:rsidP="0056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6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206.044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6668E" w:rsidRPr="0056668E" w:rsidRDefault="0056668E" w:rsidP="0056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6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21.799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6668E" w:rsidRPr="0056668E" w:rsidRDefault="0056668E" w:rsidP="0056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6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399.018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6668E" w:rsidRPr="0056668E" w:rsidRDefault="0056668E" w:rsidP="0056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6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1.068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6668E" w:rsidRPr="0056668E" w:rsidRDefault="0056668E" w:rsidP="0056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666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2.829.700</w:t>
            </w:r>
          </w:p>
        </w:tc>
      </w:tr>
    </w:tbl>
    <w:p w:rsidR="00F8704C" w:rsidRDefault="00F8704C" w:rsidP="0069577C">
      <w:pPr>
        <w:jc w:val="both"/>
      </w:pPr>
    </w:p>
    <w:p w:rsidR="007C2F59" w:rsidRDefault="007C2F59" w:rsidP="0069577C">
      <w:pPr>
        <w:jc w:val="both"/>
      </w:pPr>
      <w:r w:rsidRPr="00D00A5D">
        <w:t xml:space="preserve">Donos sredstava se u najvećoj mjeri odnosi na sredstva </w:t>
      </w:r>
      <w:r w:rsidR="001102F9" w:rsidRPr="00D00A5D">
        <w:t xml:space="preserve">iz izvora 43 (školarine temeljem studija Medicina na engleskom jeziku koje su naplaćene u 2022. godini, a odnose se na cijelu akademsku godinu 2022/2023), </w:t>
      </w:r>
      <w:r w:rsidR="005166A7">
        <w:t xml:space="preserve">na sredstva predujmova iz Obzor EU projekata te drugih projekata, na vlastita sredstva </w:t>
      </w:r>
      <w:r w:rsidR="001102F9" w:rsidRPr="00D00A5D">
        <w:t>te na sredstva iz izvora 11 (programsko financiranje znanstvene djelatnosti).</w:t>
      </w:r>
    </w:p>
    <w:p w:rsidR="005166A7" w:rsidRPr="00D00A5D" w:rsidRDefault="005166A7" w:rsidP="0069577C">
      <w:pPr>
        <w:jc w:val="both"/>
      </w:pPr>
      <w:r>
        <w:t xml:space="preserve">Navedena sredstva iz donosa se namjenski troše u promatranom razdoblju; naime, veliki </w:t>
      </w:r>
      <w:r w:rsidRPr="00D00A5D">
        <w:t xml:space="preserve"> dio rashoda u razdoblju 01-06/2023. godine </w:t>
      </w:r>
      <w:r>
        <w:t xml:space="preserve">se financirao </w:t>
      </w:r>
      <w:r w:rsidRPr="00D00A5D">
        <w:t>iz donosa sredstava iz prethodne godine</w:t>
      </w:r>
      <w:r>
        <w:t>.</w:t>
      </w:r>
    </w:p>
    <w:p w:rsidR="005166A7" w:rsidRDefault="009E0296" w:rsidP="0069577C">
      <w:pPr>
        <w:spacing w:line="240" w:lineRule="auto"/>
        <w:jc w:val="both"/>
      </w:pPr>
      <w:r w:rsidRPr="00D00A5D">
        <w:t xml:space="preserve">Programska sredstva </w:t>
      </w:r>
      <w:r w:rsidR="00D00A5D" w:rsidRPr="00D00A5D">
        <w:t xml:space="preserve">namjenskog financiranja znanosti </w:t>
      </w:r>
      <w:r w:rsidRPr="00D00A5D">
        <w:t xml:space="preserve">(VIF) </w:t>
      </w:r>
      <w:r w:rsidR="00D00A5D" w:rsidRPr="00D00A5D">
        <w:t>nisu u cijelosti potrošena iz slijedećih razloga:</w:t>
      </w:r>
    </w:p>
    <w:p w:rsidR="00D00A5D" w:rsidRDefault="00D00A5D" w:rsidP="0069577C">
      <w:pPr>
        <w:spacing w:line="240" w:lineRule="auto"/>
        <w:jc w:val="both"/>
      </w:pPr>
      <w:r>
        <w:t>-</w:t>
      </w:r>
      <w:r w:rsidRPr="00D00A5D">
        <w:t xml:space="preserve">Radi problema sa statikom zgrade </w:t>
      </w:r>
      <w:r>
        <w:t>našeg fakulteta dva kata u kojima su se nalazili znanstveni laboratoriji su morala biti iseljena te je znanstveni rad te potrošnja sredstava za znanost i iz navedenog razloga bila smanjena.</w:t>
      </w:r>
    </w:p>
    <w:p w:rsidR="00D00A5D" w:rsidRPr="00D00A5D" w:rsidRDefault="00D00A5D" w:rsidP="0069577C">
      <w:pPr>
        <w:spacing w:line="240" w:lineRule="auto"/>
        <w:jc w:val="both"/>
      </w:pPr>
      <w:r>
        <w:t>-Sredstva VIF-a za tekuću godinu uvijek stižu u drugom dijelu godine, a nekada i u zadnjem kvartalu, pa ne mogu biti potrošena do kraja godine.</w:t>
      </w:r>
      <w:r w:rsidRPr="00D00A5D">
        <w:t xml:space="preserve"> </w:t>
      </w:r>
    </w:p>
    <w:p w:rsidR="00D00A5D" w:rsidRDefault="00D00A5D" w:rsidP="0069577C">
      <w:pPr>
        <w:jc w:val="both"/>
      </w:pPr>
      <w:r>
        <w:t>U slijedećem razdoblju navedena sredstva će biti namjenski utrošena</w:t>
      </w:r>
      <w:r w:rsidRPr="00D00A5D">
        <w:t>.</w:t>
      </w:r>
    </w:p>
    <w:p w:rsidR="0069577C" w:rsidRPr="005166A7" w:rsidRDefault="0069577C" w:rsidP="0069577C">
      <w:pPr>
        <w:jc w:val="both"/>
      </w:pPr>
      <w:r>
        <w:rPr>
          <w:b/>
        </w:rPr>
        <w:t>Odnos</w:t>
      </w:r>
      <w:r w:rsidRPr="003F3E21">
        <w:rPr>
          <w:b/>
        </w:rPr>
        <w:t xml:space="preserve"> sredstava u razdoblju 01-06/2023</w:t>
      </w:r>
      <w:r w:rsidRPr="005166A7">
        <w:t xml:space="preserve"> ostvaren je u visini </w:t>
      </w:r>
      <w:r>
        <w:t>238%</w:t>
      </w:r>
      <w:r w:rsidRPr="005166A7">
        <w:t xml:space="preserve"> prošlogodišnjeg prijenosa</w:t>
      </w:r>
      <w:r>
        <w:t xml:space="preserve">, s obzirom da je prethodne godine značajno veći iznos rashoda financiran iz donosa sredstava. </w:t>
      </w:r>
      <w:r w:rsidRPr="005166A7">
        <w:t>Usporedba sa planiranim podacima za 2023. godinu nije relevantna budući da se plan odnosi na stanje sredstava na kraju 2023. godine.</w:t>
      </w:r>
    </w:p>
    <w:p w:rsidR="0069577C" w:rsidRDefault="0069577C" w:rsidP="0069577C">
      <w:pPr>
        <w:jc w:val="both"/>
      </w:pPr>
      <w:r>
        <w:t>Odnos sredstava na dan 30.06.2023.</w:t>
      </w:r>
      <w:r w:rsidRPr="005166A7">
        <w:t xml:space="preserve">. godine u iznosu od </w:t>
      </w:r>
      <w:r>
        <w:t>1.749.023</w:t>
      </w:r>
      <w:r w:rsidRPr="005166A7">
        <w:t xml:space="preserve"> EUR se odnosi na:</w:t>
      </w:r>
    </w:p>
    <w:tbl>
      <w:tblPr>
        <w:tblW w:w="9582" w:type="dxa"/>
        <w:tblLook w:val="04A0" w:firstRow="1" w:lastRow="0" w:firstColumn="1" w:lastColumn="0" w:noHBand="0" w:noVBand="1"/>
      </w:tblPr>
      <w:tblGrid>
        <w:gridCol w:w="1352"/>
        <w:gridCol w:w="1386"/>
        <w:gridCol w:w="1403"/>
        <w:gridCol w:w="1436"/>
        <w:gridCol w:w="1335"/>
        <w:gridCol w:w="1335"/>
        <w:gridCol w:w="1335"/>
      </w:tblGrid>
      <w:tr w:rsidR="00F8704C" w:rsidRPr="00F8704C" w:rsidTr="00F8704C">
        <w:trPr>
          <w:trHeight w:val="317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04C" w:rsidRPr="00F8704C" w:rsidRDefault="00F8704C" w:rsidP="00F8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04C" w:rsidRPr="00F8704C" w:rsidRDefault="00F8704C" w:rsidP="00F8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04C" w:rsidRPr="00F8704C" w:rsidRDefault="00F8704C" w:rsidP="00F8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04C" w:rsidRPr="00F8704C" w:rsidRDefault="00F8704C" w:rsidP="00F8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04C" w:rsidRPr="00F8704C" w:rsidRDefault="00F8704C" w:rsidP="00F8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04C" w:rsidRPr="00F8704C" w:rsidRDefault="00F8704C" w:rsidP="00F8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04C" w:rsidRPr="00F8704C" w:rsidRDefault="00F8704C" w:rsidP="00F87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8704C">
              <w:rPr>
                <w:rFonts w:ascii="Calibri" w:eastAsia="Times New Roman" w:hAnsi="Calibri" w:cs="Calibri"/>
                <w:color w:val="000000"/>
                <w:lang w:val="en-GB" w:eastAsia="en-GB"/>
              </w:rPr>
              <w:t>EUR</w:t>
            </w:r>
          </w:p>
        </w:tc>
      </w:tr>
      <w:tr w:rsidR="00F8704C" w:rsidRPr="00F8704C" w:rsidTr="00F8704C">
        <w:trPr>
          <w:trHeight w:val="450"/>
        </w:trPr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F8704C" w:rsidRPr="00F8704C" w:rsidRDefault="00F8704C" w:rsidP="00F87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F870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 xml:space="preserve">IZVOR 31                  </w:t>
            </w:r>
            <w:proofErr w:type="spellStart"/>
            <w:r w:rsidRPr="00F870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Vlastiti</w:t>
            </w:r>
            <w:proofErr w:type="spellEnd"/>
            <w:r w:rsidRPr="00F870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F870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prihodi</w:t>
            </w:r>
            <w:proofErr w:type="spellEnd"/>
            <w:r w:rsidRPr="00F870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 xml:space="preserve"> 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F8704C" w:rsidRPr="00F8704C" w:rsidRDefault="00F8704C" w:rsidP="00F87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F870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 xml:space="preserve">IZVOR 43                   </w:t>
            </w:r>
            <w:proofErr w:type="spellStart"/>
            <w:r w:rsidRPr="00F870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Prihodi</w:t>
            </w:r>
            <w:proofErr w:type="spellEnd"/>
            <w:r w:rsidRPr="00F870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 xml:space="preserve"> za </w:t>
            </w:r>
            <w:proofErr w:type="spellStart"/>
            <w:r w:rsidRPr="00F870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posebne</w:t>
            </w:r>
            <w:proofErr w:type="spellEnd"/>
            <w:r w:rsidRPr="00F870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F870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namjene</w:t>
            </w:r>
            <w:proofErr w:type="spellEnd"/>
            <w:r w:rsidRPr="00F870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 xml:space="preserve"> 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F8704C" w:rsidRPr="00F8704C" w:rsidRDefault="00F8704C" w:rsidP="00F87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F870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 xml:space="preserve">IZVOR 51                              </w:t>
            </w:r>
            <w:proofErr w:type="spellStart"/>
            <w:r w:rsidRPr="00F870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Pomoći</w:t>
            </w:r>
            <w:proofErr w:type="spellEnd"/>
            <w:r w:rsidRPr="00F870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 xml:space="preserve"> EU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F8704C" w:rsidRPr="00F8704C" w:rsidRDefault="00F8704C" w:rsidP="00F87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F870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 xml:space="preserve">IZVOR 52                              </w:t>
            </w:r>
            <w:proofErr w:type="spellStart"/>
            <w:r w:rsidRPr="00F870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Ostale</w:t>
            </w:r>
            <w:proofErr w:type="spellEnd"/>
            <w:r w:rsidRPr="00F870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F870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pomoći</w:t>
            </w:r>
            <w:proofErr w:type="spellEnd"/>
            <w:r w:rsidRPr="00F870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 xml:space="preserve"> 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F8704C" w:rsidRPr="00F8704C" w:rsidRDefault="00F8704C" w:rsidP="00F87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F870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 xml:space="preserve">IZVOR 61                              </w:t>
            </w:r>
            <w:proofErr w:type="spellStart"/>
            <w:r w:rsidRPr="00F870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Donacije</w:t>
            </w:r>
            <w:proofErr w:type="spellEnd"/>
            <w:r w:rsidRPr="00F870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 xml:space="preserve"> 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F8704C" w:rsidRPr="00F8704C" w:rsidRDefault="00F8704C" w:rsidP="00F87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F870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 xml:space="preserve">IZVOR 11 </w:t>
            </w:r>
            <w:proofErr w:type="spellStart"/>
            <w:r w:rsidRPr="00F870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Opći</w:t>
            </w:r>
            <w:proofErr w:type="spellEnd"/>
            <w:r w:rsidRPr="00F870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F870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prihodi</w:t>
            </w:r>
            <w:proofErr w:type="spellEnd"/>
            <w:r w:rsidRPr="00F870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F870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i</w:t>
            </w:r>
            <w:proofErr w:type="spellEnd"/>
            <w:r w:rsidRPr="00F870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F870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primici</w:t>
            </w:r>
            <w:proofErr w:type="spellEnd"/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F8704C" w:rsidRPr="00F8704C" w:rsidRDefault="00F8704C" w:rsidP="00F87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F870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UKUPNO ODNOS</w:t>
            </w:r>
          </w:p>
        </w:tc>
      </w:tr>
      <w:tr w:rsidR="00F8704C" w:rsidRPr="00F8704C" w:rsidTr="00F8704C">
        <w:trPr>
          <w:trHeight w:val="450"/>
        </w:trPr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04C" w:rsidRPr="00F8704C" w:rsidRDefault="00F8704C" w:rsidP="00F87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04C" w:rsidRPr="00F8704C" w:rsidRDefault="00F8704C" w:rsidP="00F87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04C" w:rsidRPr="00F8704C" w:rsidRDefault="00F8704C" w:rsidP="00F87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04C" w:rsidRPr="00F8704C" w:rsidRDefault="00F8704C" w:rsidP="00F87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04C" w:rsidRPr="00F8704C" w:rsidRDefault="00F8704C" w:rsidP="00F87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04C" w:rsidRPr="00F8704C" w:rsidRDefault="00F8704C" w:rsidP="00F87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04C" w:rsidRPr="00F8704C" w:rsidRDefault="00F8704C" w:rsidP="00F87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</w:p>
        </w:tc>
      </w:tr>
      <w:tr w:rsidR="00F8704C" w:rsidRPr="00F8704C" w:rsidTr="00F8704C">
        <w:trPr>
          <w:trHeight w:val="682"/>
        </w:trPr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04C" w:rsidRPr="00F8704C" w:rsidRDefault="00F8704C" w:rsidP="00F87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04C" w:rsidRPr="00F8704C" w:rsidRDefault="00F8704C" w:rsidP="00F87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04C" w:rsidRPr="00F8704C" w:rsidRDefault="00F8704C" w:rsidP="00F87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04C" w:rsidRPr="00F8704C" w:rsidRDefault="00F8704C" w:rsidP="00F87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04C" w:rsidRPr="00F8704C" w:rsidRDefault="00F8704C" w:rsidP="00F87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04C" w:rsidRPr="00F8704C" w:rsidRDefault="00F8704C" w:rsidP="00F87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04C" w:rsidRPr="00F8704C" w:rsidRDefault="00F8704C" w:rsidP="00F87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</w:p>
        </w:tc>
      </w:tr>
      <w:tr w:rsidR="00F8704C" w:rsidRPr="00F8704C" w:rsidTr="00F8704C">
        <w:trPr>
          <w:trHeight w:val="539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F8704C" w:rsidRPr="00F8704C" w:rsidRDefault="00F8704C" w:rsidP="00F87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F87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291.075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F8704C" w:rsidRPr="00F8704C" w:rsidRDefault="00F8704C" w:rsidP="00F87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F87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277.598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F8704C" w:rsidRPr="00F8704C" w:rsidRDefault="00F8704C" w:rsidP="00F87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F87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485.245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F8704C" w:rsidRPr="00F8704C" w:rsidRDefault="00F8704C" w:rsidP="00F87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F87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320.062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F8704C" w:rsidRPr="00F8704C" w:rsidRDefault="00F8704C" w:rsidP="00F87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F87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421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F8704C" w:rsidRPr="00F8704C" w:rsidRDefault="00F8704C" w:rsidP="00F87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F87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374.622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F8704C" w:rsidRPr="00F8704C" w:rsidRDefault="00F8704C" w:rsidP="00F87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F87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1.749.023</w:t>
            </w:r>
          </w:p>
        </w:tc>
      </w:tr>
    </w:tbl>
    <w:p w:rsidR="00F8704C" w:rsidRPr="005166A7" w:rsidRDefault="00F8704C" w:rsidP="0069577C">
      <w:pPr>
        <w:jc w:val="both"/>
      </w:pPr>
    </w:p>
    <w:p w:rsidR="0069577C" w:rsidRDefault="0069577C" w:rsidP="0069577C">
      <w:pPr>
        <w:jc w:val="both"/>
      </w:pPr>
      <w:r w:rsidRPr="00D00A5D">
        <w:lastRenderedPageBreak/>
        <w:t xml:space="preserve">Donos sredstava se u najvećoj mjeri odnosi na sredstva iz izvora </w:t>
      </w:r>
      <w:r>
        <w:t>51 i 52 (EU i drugi projekti i pomoći), vlastita sredstva ostvarena na tržištu (izvor 31)</w:t>
      </w:r>
      <w:r w:rsidR="00F8704C">
        <w:t>,</w:t>
      </w:r>
      <w:r>
        <w:t xml:space="preserve"> sredstva iz izvora 43</w:t>
      </w:r>
      <w:r w:rsidRPr="00D00A5D">
        <w:t xml:space="preserve"> (</w:t>
      </w:r>
      <w:r>
        <w:t xml:space="preserve">u najvećem dijelu </w:t>
      </w:r>
      <w:r w:rsidRPr="00D00A5D">
        <w:t>školarine temeljem studija Medicina na engleskom jeziku</w:t>
      </w:r>
      <w:r>
        <w:t>)</w:t>
      </w:r>
      <w:r w:rsidRPr="00D00A5D">
        <w:t xml:space="preserve"> te na sredstva iz izvora 11 (programsko financiranje znanstvene djelatnosti).</w:t>
      </w:r>
    </w:p>
    <w:p w:rsidR="0069577C" w:rsidRDefault="0069577C" w:rsidP="0069577C">
      <w:pPr>
        <w:jc w:val="both"/>
      </w:pPr>
      <w:r>
        <w:t xml:space="preserve">Navedena sredstva iz odnosa će se namjenski trošiti u slijedećem razdoblju. </w:t>
      </w:r>
    </w:p>
    <w:p w:rsidR="00506AF8" w:rsidRPr="009576D6" w:rsidRDefault="00506AF8" w:rsidP="00AE640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6400" w:rsidRDefault="00AE6400" w:rsidP="00AE640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6400">
        <w:rPr>
          <w:rFonts w:ascii="Times New Roman" w:hAnsi="Times New Roman" w:cs="Times New Roman"/>
          <w:b/>
          <w:sz w:val="24"/>
          <w:szCs w:val="24"/>
        </w:rPr>
        <w:t>Obrazloženje planiranog prijenosa</w:t>
      </w:r>
      <w:r w:rsidRPr="00AE6400">
        <w:rPr>
          <w:rFonts w:ascii="Times New Roman" w:hAnsi="Times New Roman" w:cs="Times New Roman"/>
          <w:sz w:val="24"/>
          <w:szCs w:val="24"/>
        </w:rPr>
        <w:t xml:space="preserve"> </w:t>
      </w:r>
      <w:r w:rsidRPr="00AE6400">
        <w:rPr>
          <w:rFonts w:ascii="Times New Roman" w:hAnsi="Times New Roman" w:cs="Times New Roman"/>
          <w:b/>
          <w:sz w:val="24"/>
          <w:szCs w:val="24"/>
        </w:rPr>
        <w:t>iz prethodne godine i prijenosa sredstava u slijedeće razdoblje za razdoblje 01-12/2023:</w:t>
      </w:r>
    </w:p>
    <w:p w:rsidR="002C1390" w:rsidRDefault="002C1390" w:rsidP="00AE640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784" w:type="dxa"/>
        <w:tblLook w:val="04A0" w:firstRow="1" w:lastRow="0" w:firstColumn="1" w:lastColumn="0" w:noHBand="0" w:noVBand="1"/>
      </w:tblPr>
      <w:tblGrid>
        <w:gridCol w:w="1070"/>
        <w:gridCol w:w="2533"/>
        <w:gridCol w:w="1701"/>
        <w:gridCol w:w="1701"/>
        <w:gridCol w:w="1779"/>
      </w:tblGrid>
      <w:tr w:rsidR="00875587" w:rsidRPr="00961FF2" w:rsidTr="002F56B9">
        <w:trPr>
          <w:trHeight w:val="1116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587" w:rsidRPr="00961FF2" w:rsidRDefault="00875587" w:rsidP="002F56B9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bookmarkStart w:id="0" w:name="_Hlk141706045"/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587" w:rsidRPr="00961FF2" w:rsidRDefault="00875587" w:rsidP="002F56B9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75587" w:rsidRPr="00875587" w:rsidRDefault="00875587" w:rsidP="008755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875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Prijedlog</w:t>
            </w:r>
            <w:proofErr w:type="spellEnd"/>
            <w:r w:rsidRPr="00875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 plana za 2023.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75587" w:rsidRPr="00875587" w:rsidRDefault="00875587" w:rsidP="008755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875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Projekcija</w:t>
            </w:r>
            <w:proofErr w:type="spellEnd"/>
            <w:r w:rsidRPr="00875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 plana za 2024.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75587" w:rsidRPr="00875587" w:rsidRDefault="00875587" w:rsidP="0087558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875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Projekcija</w:t>
            </w:r>
            <w:proofErr w:type="spellEnd"/>
            <w:r w:rsidRPr="00875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 plana za 2025.</w:t>
            </w:r>
          </w:p>
        </w:tc>
      </w:tr>
      <w:tr w:rsidR="009576D6" w:rsidRPr="00961FF2" w:rsidTr="009576D6">
        <w:trPr>
          <w:trHeight w:val="1116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6D6" w:rsidRPr="00875587" w:rsidRDefault="009576D6" w:rsidP="002F56B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875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DONOS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6D6" w:rsidRPr="00875587" w:rsidRDefault="009576D6" w:rsidP="009576D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875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PRIJENOS SREDSTAVA IZ PRETHODNE GODINE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9576D6" w:rsidRPr="00875587" w:rsidRDefault="009576D6" w:rsidP="002F56B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875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1.666.734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9576D6" w:rsidRPr="00875587" w:rsidRDefault="009576D6" w:rsidP="002F56B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875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1.356.338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576D6" w:rsidRPr="00875587" w:rsidRDefault="009576D6" w:rsidP="002F56B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875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1.000.123</w:t>
            </w:r>
          </w:p>
        </w:tc>
      </w:tr>
      <w:bookmarkEnd w:id="0"/>
      <w:tr w:rsidR="009576D6" w:rsidRPr="00961FF2" w:rsidTr="009576D6">
        <w:trPr>
          <w:trHeight w:val="678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6D6" w:rsidRPr="00875587" w:rsidRDefault="009576D6" w:rsidP="002F56B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875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ODNOS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6D6" w:rsidRPr="00875587" w:rsidRDefault="009576D6" w:rsidP="009576D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875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PRIJENOS SREDSTAVA U SLIJEDEĆU GODINU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9576D6" w:rsidRPr="00875587" w:rsidRDefault="009576D6" w:rsidP="002F56B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875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-1.356.338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9576D6" w:rsidRPr="00875587" w:rsidRDefault="009576D6" w:rsidP="002F56B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875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-1.000.123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576D6" w:rsidRPr="00875587" w:rsidRDefault="009576D6" w:rsidP="002F56B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875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-677.695</w:t>
            </w:r>
          </w:p>
        </w:tc>
      </w:tr>
    </w:tbl>
    <w:p w:rsidR="00506AF8" w:rsidRDefault="00506AF8" w:rsidP="009576D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2812" w:rsidRPr="005B26B0" w:rsidRDefault="00B823A7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6B0">
        <w:rPr>
          <w:rFonts w:ascii="Times New Roman" w:hAnsi="Times New Roman" w:cs="Times New Roman"/>
          <w:sz w:val="24"/>
          <w:szCs w:val="24"/>
        </w:rPr>
        <w:t xml:space="preserve">Na </w:t>
      </w:r>
      <w:r w:rsidR="00852812" w:rsidRPr="005B26B0">
        <w:rPr>
          <w:rFonts w:ascii="Times New Roman" w:hAnsi="Times New Roman" w:cs="Times New Roman"/>
          <w:sz w:val="24"/>
          <w:szCs w:val="24"/>
        </w:rPr>
        <w:t xml:space="preserve">kraju 2022. godine planira se u 2023. godinu prenijeti sredstva u visini 1.666.734 EUR </w:t>
      </w:r>
    </w:p>
    <w:p w:rsidR="00852812" w:rsidRPr="005B26B0" w:rsidRDefault="00852812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6B0">
        <w:rPr>
          <w:rFonts w:ascii="Times New Roman" w:hAnsi="Times New Roman" w:cs="Times New Roman"/>
          <w:sz w:val="24"/>
          <w:szCs w:val="24"/>
        </w:rPr>
        <w:t>Navedena sredstva se odnose na slijedeće izvore:</w:t>
      </w:r>
    </w:p>
    <w:tbl>
      <w:tblPr>
        <w:tblW w:w="8760" w:type="dxa"/>
        <w:tblLook w:val="04A0" w:firstRow="1" w:lastRow="0" w:firstColumn="1" w:lastColumn="0" w:noHBand="0" w:noVBand="1"/>
      </w:tblPr>
      <w:tblGrid>
        <w:gridCol w:w="1460"/>
        <w:gridCol w:w="1460"/>
        <w:gridCol w:w="1460"/>
        <w:gridCol w:w="1460"/>
        <w:gridCol w:w="1460"/>
        <w:gridCol w:w="1460"/>
      </w:tblGrid>
      <w:tr w:rsidR="00852812" w:rsidRPr="005B26B0" w:rsidTr="00B326AF">
        <w:trPr>
          <w:trHeight w:val="178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12" w:rsidRPr="00875587" w:rsidRDefault="00852812" w:rsidP="00852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875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 xml:space="preserve">IZVOR 31                  </w:t>
            </w:r>
            <w:proofErr w:type="spellStart"/>
            <w:r w:rsidRPr="00875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Vlastiti</w:t>
            </w:r>
            <w:proofErr w:type="spellEnd"/>
            <w:r w:rsidRPr="00875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875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prihodi</w:t>
            </w:r>
            <w:proofErr w:type="spellEnd"/>
            <w:r w:rsidRPr="00875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 xml:space="preserve">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12" w:rsidRPr="00875587" w:rsidRDefault="00852812" w:rsidP="00852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875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 xml:space="preserve">IZVOR 43                   </w:t>
            </w:r>
            <w:proofErr w:type="spellStart"/>
            <w:r w:rsidRPr="00875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Prihodi</w:t>
            </w:r>
            <w:proofErr w:type="spellEnd"/>
            <w:r w:rsidRPr="00875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 xml:space="preserve"> za </w:t>
            </w:r>
            <w:proofErr w:type="spellStart"/>
            <w:r w:rsidRPr="00875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posebne</w:t>
            </w:r>
            <w:proofErr w:type="spellEnd"/>
            <w:r w:rsidRPr="00875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875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namjene</w:t>
            </w:r>
            <w:proofErr w:type="spellEnd"/>
            <w:r w:rsidRPr="00875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 xml:space="preserve">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12" w:rsidRPr="00875587" w:rsidRDefault="00852812" w:rsidP="00852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875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 xml:space="preserve">IZVOR 51                              </w:t>
            </w:r>
            <w:proofErr w:type="spellStart"/>
            <w:r w:rsidRPr="00875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Pomoći</w:t>
            </w:r>
            <w:proofErr w:type="spellEnd"/>
            <w:r w:rsidRPr="00875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 xml:space="preserve"> EU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12" w:rsidRPr="00875587" w:rsidRDefault="00852812" w:rsidP="00852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875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 xml:space="preserve">IZVOR 52                              </w:t>
            </w:r>
            <w:proofErr w:type="spellStart"/>
            <w:r w:rsidRPr="00875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Ostale</w:t>
            </w:r>
            <w:proofErr w:type="spellEnd"/>
            <w:r w:rsidRPr="00875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875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pomoći</w:t>
            </w:r>
            <w:proofErr w:type="spellEnd"/>
            <w:r w:rsidRPr="00875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 xml:space="preserve">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12" w:rsidRPr="00875587" w:rsidRDefault="00852812" w:rsidP="00852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875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 xml:space="preserve">IZVOR 61                              </w:t>
            </w:r>
            <w:proofErr w:type="spellStart"/>
            <w:r w:rsidRPr="00875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Donacije</w:t>
            </w:r>
            <w:proofErr w:type="spellEnd"/>
            <w:r w:rsidRPr="00875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 xml:space="preserve">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812" w:rsidRPr="00875587" w:rsidRDefault="00852812" w:rsidP="00852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</w:p>
          <w:p w:rsidR="00852812" w:rsidRPr="00875587" w:rsidRDefault="00852812" w:rsidP="00852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</w:p>
          <w:p w:rsidR="00852812" w:rsidRPr="00875587" w:rsidRDefault="00852812" w:rsidP="00852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875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UKUPNO DONOS</w:t>
            </w:r>
          </w:p>
        </w:tc>
      </w:tr>
      <w:tr w:rsidR="00852812" w:rsidRPr="005B26B0" w:rsidTr="00B326AF">
        <w:trPr>
          <w:trHeight w:val="39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812" w:rsidRPr="00875587" w:rsidRDefault="00852812" w:rsidP="00852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87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265.446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812" w:rsidRPr="00875587" w:rsidRDefault="00852812" w:rsidP="00852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87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890.305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812" w:rsidRPr="00875587" w:rsidRDefault="00852812" w:rsidP="00852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87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331.807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812" w:rsidRPr="00875587" w:rsidRDefault="00852812" w:rsidP="00852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87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145.995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812" w:rsidRPr="00875587" w:rsidRDefault="00852812" w:rsidP="00852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87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33.181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2812" w:rsidRPr="00875587" w:rsidRDefault="00B326AF" w:rsidP="00875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87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1.666.734</w:t>
            </w:r>
          </w:p>
        </w:tc>
      </w:tr>
    </w:tbl>
    <w:p w:rsidR="00852812" w:rsidRPr="005B26B0" w:rsidRDefault="00852812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26AF" w:rsidRDefault="00B326AF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6B0">
        <w:rPr>
          <w:rFonts w:ascii="Times New Roman" w:hAnsi="Times New Roman" w:cs="Times New Roman"/>
          <w:sz w:val="24"/>
          <w:szCs w:val="24"/>
        </w:rPr>
        <w:t xml:space="preserve">Navedena sredstva </w:t>
      </w:r>
      <w:r w:rsidRPr="005B26B0">
        <w:rPr>
          <w:rFonts w:ascii="Times New Roman" w:hAnsi="Times New Roman" w:cs="Times New Roman"/>
          <w:b/>
          <w:sz w:val="24"/>
          <w:szCs w:val="24"/>
        </w:rPr>
        <w:t>donosa</w:t>
      </w:r>
      <w:r>
        <w:rPr>
          <w:rFonts w:ascii="Times New Roman" w:hAnsi="Times New Roman" w:cs="Times New Roman"/>
          <w:sz w:val="24"/>
          <w:szCs w:val="24"/>
        </w:rPr>
        <w:t xml:space="preserve"> se odnose na slijedeće:</w:t>
      </w:r>
    </w:p>
    <w:p w:rsidR="00B326AF" w:rsidRDefault="00B326AF" w:rsidP="004F670F">
      <w:pPr>
        <w:spacing w:after="0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4F670F">
        <w:rPr>
          <w:rFonts w:ascii="Times New Roman" w:hAnsi="Times New Roman" w:cs="Times New Roman"/>
          <w:b/>
          <w:sz w:val="24"/>
          <w:szCs w:val="24"/>
        </w:rPr>
        <w:t>Izvor 31</w:t>
      </w:r>
      <w:r>
        <w:rPr>
          <w:rFonts w:ascii="Times New Roman" w:hAnsi="Times New Roman" w:cs="Times New Roman"/>
          <w:sz w:val="24"/>
          <w:szCs w:val="24"/>
        </w:rPr>
        <w:t xml:space="preserve">: Neutrošena sredstva iz vlastitih projekata za tržište, </w:t>
      </w:r>
      <w:r w:rsidRPr="00030383">
        <w:rPr>
          <w:rFonts w:ascii="Times New Roman" w:hAnsi="Times New Roman" w:cs="Times New Roman"/>
          <w:sz w:val="24"/>
          <w:szCs w:val="24"/>
        </w:rPr>
        <w:t>tečajev</w:t>
      </w:r>
      <w:r w:rsidR="00A27FC7">
        <w:rPr>
          <w:rFonts w:ascii="Times New Roman" w:hAnsi="Times New Roman" w:cs="Times New Roman"/>
          <w:sz w:val="24"/>
          <w:szCs w:val="24"/>
        </w:rPr>
        <w:t>a</w:t>
      </w:r>
      <w:r w:rsidRPr="00030383">
        <w:rPr>
          <w:rFonts w:ascii="Times New Roman" w:hAnsi="Times New Roman" w:cs="Times New Roman"/>
          <w:sz w:val="24"/>
          <w:szCs w:val="24"/>
        </w:rPr>
        <w:t xml:space="preserve"> trajne medicinske izobrazbe, </w:t>
      </w:r>
      <w:r w:rsidR="00A27FC7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entra za medicinu spavanja</w:t>
      </w:r>
      <w:r w:rsidRPr="00030383">
        <w:rPr>
          <w:rFonts w:ascii="Times New Roman" w:hAnsi="Times New Roman" w:cs="Times New Roman"/>
          <w:sz w:val="24"/>
          <w:szCs w:val="24"/>
        </w:rPr>
        <w:t>,</w:t>
      </w:r>
      <w:r w:rsidR="00A27FC7">
        <w:rPr>
          <w:rFonts w:ascii="Times New Roman" w:hAnsi="Times New Roman" w:cs="Times New Roman"/>
          <w:sz w:val="24"/>
          <w:szCs w:val="24"/>
        </w:rPr>
        <w:t xml:space="preserve"> </w:t>
      </w:r>
      <w:r w:rsidRPr="00030383">
        <w:rPr>
          <w:rFonts w:ascii="Times New Roman" w:hAnsi="Times New Roman" w:cs="Times New Roman"/>
          <w:sz w:val="24"/>
          <w:szCs w:val="24"/>
        </w:rPr>
        <w:t>sudsk</w:t>
      </w:r>
      <w:r>
        <w:rPr>
          <w:rFonts w:ascii="Times New Roman" w:hAnsi="Times New Roman" w:cs="Times New Roman"/>
          <w:sz w:val="24"/>
          <w:szCs w:val="24"/>
        </w:rPr>
        <w:t>ih</w:t>
      </w:r>
      <w:r w:rsidRPr="00030383">
        <w:rPr>
          <w:rFonts w:ascii="Times New Roman" w:hAnsi="Times New Roman" w:cs="Times New Roman"/>
          <w:sz w:val="24"/>
          <w:szCs w:val="24"/>
        </w:rPr>
        <w:t xml:space="preserve"> medicinska vještačenja, konzultantsk</w:t>
      </w:r>
      <w:r>
        <w:rPr>
          <w:rFonts w:ascii="Times New Roman" w:hAnsi="Times New Roman" w:cs="Times New Roman"/>
          <w:sz w:val="24"/>
          <w:szCs w:val="24"/>
        </w:rPr>
        <w:t>ih</w:t>
      </w:r>
      <w:r w:rsidRPr="00030383">
        <w:rPr>
          <w:rFonts w:ascii="Times New Roman" w:hAnsi="Times New Roman" w:cs="Times New Roman"/>
          <w:sz w:val="24"/>
          <w:szCs w:val="24"/>
        </w:rPr>
        <w:t xml:space="preserve"> uslug</w:t>
      </w:r>
      <w:r w:rsidR="00F7685D">
        <w:rPr>
          <w:rFonts w:ascii="Times New Roman" w:hAnsi="Times New Roman" w:cs="Times New Roman"/>
          <w:sz w:val="24"/>
          <w:szCs w:val="24"/>
        </w:rPr>
        <w:t>a</w:t>
      </w:r>
      <w:r w:rsidRPr="00030383">
        <w:rPr>
          <w:rFonts w:ascii="Times New Roman" w:hAnsi="Times New Roman" w:cs="Times New Roman"/>
          <w:sz w:val="24"/>
          <w:szCs w:val="24"/>
        </w:rPr>
        <w:t xml:space="preserve"> te iznajmljivanj</w:t>
      </w:r>
      <w:r w:rsidR="00A27FC7">
        <w:rPr>
          <w:rFonts w:ascii="Times New Roman" w:hAnsi="Times New Roman" w:cs="Times New Roman"/>
          <w:sz w:val="24"/>
          <w:szCs w:val="24"/>
        </w:rPr>
        <w:t>a</w:t>
      </w:r>
      <w:r w:rsidRPr="00030383">
        <w:rPr>
          <w:rFonts w:ascii="Times New Roman" w:hAnsi="Times New Roman" w:cs="Times New Roman"/>
          <w:sz w:val="24"/>
          <w:szCs w:val="24"/>
        </w:rPr>
        <w:t xml:space="preserve"> prostora</w:t>
      </w:r>
      <w:r>
        <w:rPr>
          <w:rFonts w:ascii="Times New Roman" w:hAnsi="Times New Roman" w:cs="Times New Roman"/>
          <w:sz w:val="24"/>
          <w:szCs w:val="24"/>
        </w:rPr>
        <w:t>. Ova sredstva će se utrošiti za podmirenje rashoda poslovanja u 2024. godini</w:t>
      </w:r>
      <w:r w:rsidR="00F7685D">
        <w:rPr>
          <w:rFonts w:ascii="Times New Roman" w:hAnsi="Times New Roman" w:cs="Times New Roman"/>
          <w:sz w:val="24"/>
          <w:szCs w:val="24"/>
        </w:rPr>
        <w:t xml:space="preserve"> (u značajnom dijelu za rashode potrebne za realizaciju tržišnih projekata </w:t>
      </w:r>
      <w:proofErr w:type="spellStart"/>
      <w:r w:rsidR="00F7685D">
        <w:rPr>
          <w:rFonts w:ascii="Times New Roman" w:hAnsi="Times New Roman" w:cs="Times New Roman"/>
          <w:sz w:val="24"/>
          <w:szCs w:val="24"/>
        </w:rPr>
        <w:t>Lexaria</w:t>
      </w:r>
      <w:proofErr w:type="spellEnd"/>
      <w:r w:rsidR="00F7685D">
        <w:rPr>
          <w:rFonts w:ascii="Times New Roman" w:hAnsi="Times New Roman" w:cs="Times New Roman"/>
          <w:sz w:val="24"/>
          <w:szCs w:val="24"/>
        </w:rPr>
        <w:t xml:space="preserve"> i Roche)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685D" w:rsidRDefault="00F7685D" w:rsidP="004F670F">
      <w:pPr>
        <w:spacing w:after="0"/>
        <w:ind w:right="14"/>
        <w:jc w:val="both"/>
        <w:rPr>
          <w:rFonts w:ascii="Times New Roman" w:hAnsi="Times New Roman" w:cs="Times New Roman"/>
          <w:sz w:val="24"/>
          <w:szCs w:val="24"/>
        </w:rPr>
      </w:pPr>
    </w:p>
    <w:p w:rsidR="00B326AF" w:rsidRDefault="00B326AF" w:rsidP="004F67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70F">
        <w:rPr>
          <w:rFonts w:ascii="Times New Roman" w:hAnsi="Times New Roman" w:cs="Times New Roman"/>
          <w:b/>
          <w:sz w:val="24"/>
          <w:szCs w:val="24"/>
        </w:rPr>
        <w:t>Izvor 43</w:t>
      </w:r>
      <w:r>
        <w:rPr>
          <w:rFonts w:ascii="Times New Roman" w:hAnsi="Times New Roman" w:cs="Times New Roman"/>
          <w:sz w:val="24"/>
          <w:szCs w:val="24"/>
        </w:rPr>
        <w:t xml:space="preserve">: Neutrošena sredstva </w:t>
      </w:r>
      <w:r w:rsidRPr="002052E4">
        <w:rPr>
          <w:rFonts w:ascii="Times New Roman" w:hAnsi="Times New Roman" w:cs="Times New Roman"/>
          <w:sz w:val="24"/>
          <w:szCs w:val="24"/>
        </w:rPr>
        <w:t>prihod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052E4">
        <w:rPr>
          <w:rFonts w:ascii="Times New Roman" w:hAnsi="Times New Roman" w:cs="Times New Roman"/>
          <w:sz w:val="24"/>
          <w:szCs w:val="24"/>
        </w:rPr>
        <w:t xml:space="preserve"> od školarina</w:t>
      </w:r>
      <w:r w:rsidR="00F768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 ak. godinu 2023/2024.</w:t>
      </w:r>
      <w:r w:rsidR="004F67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Ova sredstva će se utrošiti za podmirenje rashoda </w:t>
      </w:r>
      <w:r w:rsidR="00310E1F">
        <w:rPr>
          <w:rFonts w:ascii="Times New Roman" w:hAnsi="Times New Roman" w:cs="Times New Roman"/>
          <w:sz w:val="24"/>
          <w:szCs w:val="24"/>
        </w:rPr>
        <w:t xml:space="preserve">redovnog </w:t>
      </w:r>
      <w:r>
        <w:rPr>
          <w:rFonts w:ascii="Times New Roman" w:hAnsi="Times New Roman" w:cs="Times New Roman"/>
          <w:sz w:val="24"/>
          <w:szCs w:val="24"/>
        </w:rPr>
        <w:t>poslovanja u 2024. godini.</w:t>
      </w:r>
    </w:p>
    <w:p w:rsidR="00B326AF" w:rsidRDefault="00B326AF" w:rsidP="004F67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70F">
        <w:rPr>
          <w:rFonts w:ascii="Times New Roman" w:hAnsi="Times New Roman" w:cs="Times New Roman"/>
          <w:b/>
          <w:sz w:val="24"/>
          <w:szCs w:val="24"/>
        </w:rPr>
        <w:lastRenderedPageBreak/>
        <w:t>Izvor 51</w:t>
      </w:r>
      <w:r>
        <w:rPr>
          <w:rFonts w:ascii="Times New Roman" w:hAnsi="Times New Roman" w:cs="Times New Roman"/>
          <w:sz w:val="24"/>
          <w:szCs w:val="24"/>
        </w:rPr>
        <w:t>: Neutrošena sredstva se odnose na predujmove za EU projekte te će se trošiti prema proračunima projekata za podmirenje planiranih rashoda.</w:t>
      </w:r>
    </w:p>
    <w:p w:rsidR="004F670F" w:rsidRDefault="004F670F" w:rsidP="004F67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70F">
        <w:rPr>
          <w:rFonts w:ascii="Times New Roman" w:hAnsi="Times New Roman" w:cs="Times New Roman"/>
          <w:b/>
          <w:sz w:val="24"/>
          <w:szCs w:val="24"/>
        </w:rPr>
        <w:t>Izvor 52</w:t>
      </w:r>
      <w:r>
        <w:rPr>
          <w:rFonts w:ascii="Times New Roman" w:hAnsi="Times New Roman" w:cs="Times New Roman"/>
          <w:sz w:val="24"/>
          <w:szCs w:val="24"/>
        </w:rPr>
        <w:t>: Neutrošena sredstva se u najvećem dijelu odnose na</w:t>
      </w:r>
      <w:r w:rsidR="00F7685D">
        <w:rPr>
          <w:rFonts w:ascii="Times New Roman" w:hAnsi="Times New Roman" w:cs="Times New Roman"/>
          <w:sz w:val="24"/>
          <w:szCs w:val="24"/>
        </w:rPr>
        <w:t xml:space="preserve"> prihode </w:t>
      </w:r>
      <w:r>
        <w:rPr>
          <w:rFonts w:ascii="Times New Roman" w:hAnsi="Times New Roman" w:cs="Times New Roman"/>
          <w:sz w:val="24"/>
          <w:szCs w:val="24"/>
        </w:rPr>
        <w:t xml:space="preserve"> EU projek</w:t>
      </w:r>
      <w:r w:rsidR="00F7685D">
        <w:rPr>
          <w:rFonts w:ascii="Times New Roman" w:hAnsi="Times New Roman" w:cs="Times New Roman"/>
          <w:sz w:val="24"/>
          <w:szCs w:val="24"/>
        </w:rPr>
        <w:t>ata</w:t>
      </w:r>
      <w:r>
        <w:rPr>
          <w:rFonts w:ascii="Times New Roman" w:hAnsi="Times New Roman" w:cs="Times New Roman"/>
          <w:sz w:val="24"/>
          <w:szCs w:val="24"/>
        </w:rPr>
        <w:t xml:space="preserve"> gdje je MEFST partner (</w:t>
      </w:r>
      <w:r w:rsidR="00F7685D">
        <w:rPr>
          <w:rFonts w:ascii="Times New Roman" w:hAnsi="Times New Roman" w:cs="Times New Roman"/>
          <w:sz w:val="24"/>
          <w:szCs w:val="24"/>
        </w:rPr>
        <w:t xml:space="preserve">najveći iznos se odnosi </w:t>
      </w:r>
      <w:r w:rsidR="007E77E0">
        <w:rPr>
          <w:rFonts w:ascii="Times New Roman" w:hAnsi="Times New Roman" w:cs="Times New Roman"/>
          <w:sz w:val="24"/>
          <w:szCs w:val="24"/>
        </w:rPr>
        <w:t>na</w:t>
      </w:r>
      <w:r w:rsidR="00F7685D">
        <w:rPr>
          <w:rFonts w:ascii="Times New Roman" w:hAnsi="Times New Roman" w:cs="Times New Roman"/>
          <w:sz w:val="24"/>
          <w:szCs w:val="24"/>
        </w:rPr>
        <w:t xml:space="preserve"> projekt </w:t>
      </w:r>
      <w:r>
        <w:rPr>
          <w:rFonts w:ascii="Times New Roman" w:hAnsi="Times New Roman" w:cs="Times New Roman"/>
          <w:sz w:val="24"/>
          <w:szCs w:val="24"/>
        </w:rPr>
        <w:t>Medicinska +) te sredstva prim</w:t>
      </w:r>
      <w:r w:rsidR="00F7685D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jena za realizaciju  HRZZ projekata. Sredstva će se trošiti prema proračunima projekata za podmirenje planiranih rashoda</w:t>
      </w:r>
      <w:r w:rsidR="007E77E0">
        <w:rPr>
          <w:rFonts w:ascii="Times New Roman" w:hAnsi="Times New Roman" w:cs="Times New Roman"/>
          <w:sz w:val="24"/>
          <w:szCs w:val="24"/>
        </w:rPr>
        <w:t>.</w:t>
      </w:r>
    </w:p>
    <w:p w:rsidR="004F670F" w:rsidRDefault="004F670F" w:rsidP="004F670F">
      <w:pPr>
        <w:spacing w:after="0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7E77E0">
        <w:rPr>
          <w:rFonts w:ascii="Times New Roman" w:hAnsi="Times New Roman" w:cs="Times New Roman"/>
          <w:b/>
          <w:sz w:val="24"/>
          <w:szCs w:val="24"/>
        </w:rPr>
        <w:t>Izvor 61</w:t>
      </w:r>
      <w:r>
        <w:rPr>
          <w:rFonts w:ascii="Times New Roman" w:hAnsi="Times New Roman" w:cs="Times New Roman"/>
          <w:sz w:val="24"/>
          <w:szCs w:val="24"/>
        </w:rPr>
        <w:t xml:space="preserve">: Neutrošena sredstva se odnose </w:t>
      </w:r>
      <w:r w:rsidRPr="002052E4">
        <w:rPr>
          <w:rFonts w:ascii="Times New Roman" w:hAnsi="Times New Roman" w:cs="Times New Roman"/>
          <w:sz w:val="24"/>
          <w:szCs w:val="24"/>
        </w:rPr>
        <w:t>namjenske donacije fizičkih osoba, neprofitnih organizacija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052E4">
        <w:rPr>
          <w:rFonts w:ascii="Times New Roman" w:hAnsi="Times New Roman" w:cs="Times New Roman"/>
          <w:sz w:val="24"/>
          <w:szCs w:val="24"/>
        </w:rPr>
        <w:t xml:space="preserve">trgovačkih društava i ostalih subjekata izvan općeg proračuna (ovdje su uključena i sredstva primljena od </w:t>
      </w:r>
      <w:r>
        <w:rPr>
          <w:rFonts w:ascii="Times New Roman" w:hAnsi="Times New Roman" w:cs="Times New Roman"/>
          <w:sz w:val="24"/>
          <w:szCs w:val="24"/>
        </w:rPr>
        <w:t xml:space="preserve">poliklinike </w:t>
      </w:r>
      <w:proofErr w:type="spellStart"/>
      <w:r>
        <w:rPr>
          <w:rFonts w:ascii="Times New Roman" w:hAnsi="Times New Roman" w:cs="Times New Roman"/>
          <w:sz w:val="24"/>
          <w:szCs w:val="24"/>
        </w:rPr>
        <w:t>Fiziodent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kao n</w:t>
      </w:r>
      <w:r w:rsidRPr="002052E4">
        <w:rPr>
          <w:rFonts w:ascii="Times New Roman" w:hAnsi="Times New Roman" w:cs="Times New Roman"/>
          <w:sz w:val="24"/>
          <w:szCs w:val="24"/>
        </w:rPr>
        <w:t>ositelja EU projekata (MEFST partner na projektu</w:t>
      </w:r>
      <w:r>
        <w:rPr>
          <w:rFonts w:ascii="Times New Roman" w:hAnsi="Times New Roman" w:cs="Times New Roman"/>
          <w:sz w:val="24"/>
          <w:szCs w:val="24"/>
        </w:rPr>
        <w:t>) ).Sredstva će se  trošiti prema proračunu projekata za podmirenje planiranih rashoda, a sredstva od donacija će se trošiti namjenski za podmirenje rashoda za koje su dobivena.</w:t>
      </w:r>
    </w:p>
    <w:p w:rsidR="002C1390" w:rsidRDefault="002C1390" w:rsidP="004F67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670F" w:rsidRDefault="004F670F" w:rsidP="004F67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Sredstva </w:t>
      </w:r>
      <w:r w:rsidRPr="004F670F">
        <w:rPr>
          <w:rFonts w:ascii="Times New Roman" w:hAnsi="Times New Roman" w:cs="Times New Roman"/>
          <w:b/>
          <w:sz w:val="24"/>
          <w:szCs w:val="24"/>
        </w:rPr>
        <w:t xml:space="preserve">odnosa </w:t>
      </w:r>
      <w:r>
        <w:rPr>
          <w:rFonts w:ascii="Times New Roman" w:hAnsi="Times New Roman" w:cs="Times New Roman"/>
          <w:sz w:val="24"/>
          <w:szCs w:val="24"/>
        </w:rPr>
        <w:t>se planiraju na isti način kao i sredstva donosa; očekuje se slična situacija i na kraju 2023. godine.</w:t>
      </w:r>
    </w:p>
    <w:p w:rsidR="00186B7B" w:rsidRPr="00186B7B" w:rsidRDefault="00186B7B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6B7B">
        <w:rPr>
          <w:rFonts w:ascii="Times New Roman" w:hAnsi="Times New Roman" w:cs="Times New Roman"/>
          <w:b/>
          <w:sz w:val="24"/>
          <w:szCs w:val="24"/>
        </w:rPr>
        <w:t>UKUPNE I DOSPJELE OBVEZE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544"/>
        <w:gridCol w:w="3680"/>
      </w:tblGrid>
      <w:tr w:rsidR="009D7CA0" w:rsidRPr="00D16BF9" w:rsidTr="009D7CA0">
        <w:tc>
          <w:tcPr>
            <w:tcW w:w="1838" w:type="dxa"/>
          </w:tcPr>
          <w:p w:rsidR="009D7CA0" w:rsidRPr="00D16BF9" w:rsidRDefault="009D7CA0" w:rsidP="00D16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D7CA0" w:rsidRPr="00D16BF9" w:rsidRDefault="009D7CA0" w:rsidP="00D16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BF9">
              <w:rPr>
                <w:rFonts w:ascii="Times New Roman" w:hAnsi="Times New Roman" w:cs="Times New Roman"/>
                <w:sz w:val="24"/>
                <w:szCs w:val="24"/>
              </w:rPr>
              <w:t>Stanje obveza na dan 31.12.2021.</w:t>
            </w:r>
          </w:p>
        </w:tc>
        <w:tc>
          <w:tcPr>
            <w:tcW w:w="3680" w:type="dxa"/>
          </w:tcPr>
          <w:p w:rsidR="009D7CA0" w:rsidRPr="00D16BF9" w:rsidRDefault="009D7CA0" w:rsidP="00D16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BF9">
              <w:rPr>
                <w:rFonts w:ascii="Times New Roman" w:hAnsi="Times New Roman" w:cs="Times New Roman"/>
                <w:sz w:val="24"/>
                <w:szCs w:val="24"/>
              </w:rPr>
              <w:t>Stanje obveza na dan 30.06.2022.</w:t>
            </w:r>
          </w:p>
        </w:tc>
      </w:tr>
      <w:tr w:rsidR="009D7CA0" w:rsidRPr="00D16BF9" w:rsidTr="009D7CA0">
        <w:tc>
          <w:tcPr>
            <w:tcW w:w="1838" w:type="dxa"/>
          </w:tcPr>
          <w:p w:rsidR="009D7CA0" w:rsidRPr="00D16BF9" w:rsidRDefault="009D7CA0" w:rsidP="00D16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BF9">
              <w:rPr>
                <w:rFonts w:ascii="Times New Roman" w:hAnsi="Times New Roman" w:cs="Times New Roman"/>
                <w:sz w:val="24"/>
                <w:szCs w:val="24"/>
              </w:rPr>
              <w:t>Ukupne obveze</w:t>
            </w:r>
          </w:p>
        </w:tc>
        <w:tc>
          <w:tcPr>
            <w:tcW w:w="3544" w:type="dxa"/>
          </w:tcPr>
          <w:p w:rsidR="009D7CA0" w:rsidRPr="00D16BF9" w:rsidRDefault="00660C52" w:rsidP="00D16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BF9">
              <w:rPr>
                <w:rFonts w:ascii="Times New Roman" w:hAnsi="Times New Roman" w:cs="Times New Roman"/>
                <w:sz w:val="24"/>
                <w:szCs w:val="24"/>
              </w:rPr>
              <w:t xml:space="preserve">15.828.235 kn </w:t>
            </w:r>
            <w:r w:rsidR="00A94E94" w:rsidRPr="00D16BF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16BF9">
              <w:rPr>
                <w:rFonts w:ascii="Times New Roman" w:hAnsi="Times New Roman" w:cs="Times New Roman"/>
                <w:sz w:val="24"/>
                <w:szCs w:val="24"/>
              </w:rPr>
              <w:t>(2.100.768 EUR)</w:t>
            </w:r>
          </w:p>
        </w:tc>
        <w:tc>
          <w:tcPr>
            <w:tcW w:w="3680" w:type="dxa"/>
          </w:tcPr>
          <w:p w:rsidR="009D7CA0" w:rsidRPr="00D16BF9" w:rsidRDefault="00A94E94" w:rsidP="00D16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BF9">
              <w:rPr>
                <w:rFonts w:ascii="Times New Roman" w:hAnsi="Times New Roman" w:cs="Times New Roman"/>
                <w:sz w:val="24"/>
                <w:szCs w:val="24"/>
              </w:rPr>
              <w:t>13.810.192,86 kn  (1.832.928 EUR)</w:t>
            </w:r>
          </w:p>
        </w:tc>
      </w:tr>
      <w:tr w:rsidR="009D7CA0" w:rsidRPr="00D16BF9" w:rsidTr="009D7CA0">
        <w:tc>
          <w:tcPr>
            <w:tcW w:w="1838" w:type="dxa"/>
          </w:tcPr>
          <w:p w:rsidR="009D7CA0" w:rsidRPr="00D16BF9" w:rsidRDefault="009D7CA0" w:rsidP="00D16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BF9">
              <w:rPr>
                <w:rFonts w:ascii="Times New Roman" w:hAnsi="Times New Roman" w:cs="Times New Roman"/>
                <w:sz w:val="24"/>
                <w:szCs w:val="24"/>
              </w:rPr>
              <w:t>Dospjele obveze</w:t>
            </w:r>
          </w:p>
        </w:tc>
        <w:tc>
          <w:tcPr>
            <w:tcW w:w="3544" w:type="dxa"/>
          </w:tcPr>
          <w:p w:rsidR="009D7CA0" w:rsidRPr="00D16BF9" w:rsidRDefault="00660C52" w:rsidP="00D16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BF9">
              <w:rPr>
                <w:rFonts w:ascii="Times New Roman" w:hAnsi="Times New Roman" w:cs="Times New Roman"/>
                <w:sz w:val="24"/>
                <w:szCs w:val="24"/>
              </w:rPr>
              <w:t xml:space="preserve">7.541.203   </w:t>
            </w:r>
            <w:r w:rsidR="00A94E94" w:rsidRPr="00D16BF9">
              <w:rPr>
                <w:rFonts w:ascii="Times New Roman" w:hAnsi="Times New Roman" w:cs="Times New Roman"/>
                <w:sz w:val="24"/>
                <w:szCs w:val="24"/>
              </w:rPr>
              <w:t>kn</w:t>
            </w:r>
            <w:r w:rsidRPr="00D16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4E94" w:rsidRPr="00D16BF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16BF9">
              <w:rPr>
                <w:rFonts w:ascii="Times New Roman" w:hAnsi="Times New Roman" w:cs="Times New Roman"/>
                <w:sz w:val="24"/>
                <w:szCs w:val="24"/>
              </w:rPr>
              <w:t>(1.000.890 EUR)</w:t>
            </w:r>
          </w:p>
        </w:tc>
        <w:tc>
          <w:tcPr>
            <w:tcW w:w="3680" w:type="dxa"/>
          </w:tcPr>
          <w:p w:rsidR="009D7CA0" w:rsidRPr="00D16BF9" w:rsidRDefault="00A94E94" w:rsidP="00D16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BF9">
              <w:rPr>
                <w:rFonts w:ascii="Times New Roman" w:hAnsi="Times New Roman" w:cs="Times New Roman"/>
                <w:sz w:val="24"/>
                <w:szCs w:val="24"/>
              </w:rPr>
              <w:t xml:space="preserve">  6.395.406,97 kn      (848.816 EUR)</w:t>
            </w:r>
          </w:p>
        </w:tc>
      </w:tr>
    </w:tbl>
    <w:p w:rsidR="000D0A1C" w:rsidRPr="00D16BF9" w:rsidRDefault="000D0A1C" w:rsidP="00D16B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60C52" w:rsidRPr="00D16BF9" w:rsidRDefault="00660C52" w:rsidP="00D16BF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6BF9">
        <w:rPr>
          <w:rFonts w:ascii="Times New Roman" w:hAnsi="Times New Roman" w:cs="Times New Roman"/>
          <w:b/>
          <w:sz w:val="24"/>
          <w:szCs w:val="24"/>
        </w:rPr>
        <w:t>Dospjele obveze 31.12.2021:</w:t>
      </w:r>
    </w:p>
    <w:p w:rsidR="00C94FAE" w:rsidRPr="00D16BF9" w:rsidRDefault="00477211" w:rsidP="00D16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BF9">
        <w:rPr>
          <w:rFonts w:ascii="Times New Roman" w:hAnsi="Times New Roman" w:cs="Times New Roman"/>
          <w:sz w:val="24"/>
          <w:szCs w:val="24"/>
        </w:rPr>
        <w:t xml:space="preserve">Najveći dio dospjelih obveza na dan </w:t>
      </w:r>
      <w:r w:rsidR="00C94FAE" w:rsidRPr="00D16BF9">
        <w:rPr>
          <w:rFonts w:ascii="Times New Roman" w:hAnsi="Times New Roman" w:cs="Times New Roman"/>
          <w:sz w:val="24"/>
          <w:szCs w:val="24"/>
        </w:rPr>
        <w:t xml:space="preserve"> 31.12.2021</w:t>
      </w:r>
      <w:r w:rsidRPr="00D16BF9">
        <w:rPr>
          <w:rFonts w:ascii="Times New Roman" w:hAnsi="Times New Roman" w:cs="Times New Roman"/>
          <w:sz w:val="24"/>
          <w:szCs w:val="24"/>
        </w:rPr>
        <w:t>. se odnosi na</w:t>
      </w:r>
      <w:r w:rsidR="00C94FAE" w:rsidRPr="00D16BF9">
        <w:rPr>
          <w:rFonts w:ascii="Times New Roman" w:hAnsi="Times New Roman" w:cs="Times New Roman"/>
          <w:sz w:val="24"/>
          <w:szCs w:val="24"/>
        </w:rPr>
        <w:t xml:space="preserve"> obveze prema Sveučilištu u Splitu  koje su dospjele u visini 4.795.846,77 kn</w:t>
      </w:r>
      <w:r w:rsidR="00660C52" w:rsidRPr="00D16BF9">
        <w:rPr>
          <w:rFonts w:ascii="Times New Roman" w:hAnsi="Times New Roman" w:cs="Times New Roman"/>
          <w:sz w:val="24"/>
          <w:szCs w:val="24"/>
        </w:rPr>
        <w:t xml:space="preserve"> (636.518 EUR)</w:t>
      </w:r>
      <w:r w:rsidR="00C94FAE" w:rsidRPr="00D16BF9">
        <w:rPr>
          <w:rFonts w:ascii="Times New Roman" w:hAnsi="Times New Roman" w:cs="Times New Roman"/>
          <w:sz w:val="24"/>
          <w:szCs w:val="24"/>
        </w:rPr>
        <w:t xml:space="preserve">, a koje se odnose na obračunate obveze u visini 15% od školarina studija Medicina na engleskom jeziku za ak. godinu 2019/2020. (dio) te za ak. godinu 2020/2021; u dogovoru sa Sveučilištem preostali dug će se plaćati u tranšama prema financijskim mogućnostima fakulteta. </w:t>
      </w:r>
    </w:p>
    <w:p w:rsidR="00C94FAE" w:rsidRPr="00D16BF9" w:rsidRDefault="00C94FAE" w:rsidP="000D4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BF9">
        <w:rPr>
          <w:rFonts w:ascii="Times New Roman" w:hAnsi="Times New Roman" w:cs="Times New Roman"/>
          <w:sz w:val="24"/>
          <w:szCs w:val="24"/>
        </w:rPr>
        <w:t xml:space="preserve">U okviru dospjelih obveza za materijalne rashode prikazana je značajna obveza prema ustanovi </w:t>
      </w:r>
      <w:proofErr w:type="spellStart"/>
      <w:r w:rsidRPr="00D16BF9">
        <w:rPr>
          <w:rFonts w:ascii="Times New Roman" w:hAnsi="Times New Roman" w:cs="Times New Roman"/>
          <w:sz w:val="24"/>
          <w:szCs w:val="24"/>
        </w:rPr>
        <w:t>Regiomed</w:t>
      </w:r>
      <w:proofErr w:type="spellEnd"/>
      <w:r w:rsidRPr="00D16B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BF9">
        <w:rPr>
          <w:rFonts w:ascii="Times New Roman" w:hAnsi="Times New Roman" w:cs="Times New Roman"/>
          <w:sz w:val="24"/>
          <w:szCs w:val="24"/>
        </w:rPr>
        <w:t>Kliniken</w:t>
      </w:r>
      <w:proofErr w:type="spellEnd"/>
      <w:r w:rsidRPr="00D16BF9">
        <w:rPr>
          <w:rFonts w:ascii="Times New Roman" w:hAnsi="Times New Roman" w:cs="Times New Roman"/>
          <w:sz w:val="24"/>
          <w:szCs w:val="24"/>
        </w:rPr>
        <w:t xml:space="preserve"> iz Njemačke</w:t>
      </w:r>
      <w:r w:rsidR="00660C52" w:rsidRPr="00D16BF9">
        <w:rPr>
          <w:rFonts w:ascii="Times New Roman" w:hAnsi="Times New Roman" w:cs="Times New Roman"/>
          <w:sz w:val="24"/>
          <w:szCs w:val="24"/>
        </w:rPr>
        <w:t xml:space="preserve"> (2.671.489,32 kn (EUR 354.568 EUR)</w:t>
      </w:r>
      <w:r w:rsidRPr="00D16BF9">
        <w:rPr>
          <w:rFonts w:ascii="Times New Roman" w:hAnsi="Times New Roman" w:cs="Times New Roman"/>
          <w:sz w:val="24"/>
          <w:szCs w:val="24"/>
        </w:rPr>
        <w:t xml:space="preserve">, a temeljem Ugovora o suradnji na studiju Medicina na engleskom jeziku. Plaćanje ove obveze </w:t>
      </w:r>
      <w:r w:rsidR="00660C52" w:rsidRPr="00D16BF9">
        <w:rPr>
          <w:rFonts w:ascii="Times New Roman" w:hAnsi="Times New Roman" w:cs="Times New Roman"/>
          <w:sz w:val="24"/>
          <w:szCs w:val="24"/>
        </w:rPr>
        <w:t>izvršeno je početkom  2022</w:t>
      </w:r>
      <w:r w:rsidRPr="00D16BF9">
        <w:rPr>
          <w:rFonts w:ascii="Times New Roman" w:hAnsi="Times New Roman" w:cs="Times New Roman"/>
          <w:sz w:val="24"/>
          <w:szCs w:val="24"/>
        </w:rPr>
        <w:t>. godine.</w:t>
      </w:r>
    </w:p>
    <w:p w:rsidR="00C94FAE" w:rsidRPr="00D16BF9" w:rsidRDefault="00C94FAE" w:rsidP="000D4A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0C52" w:rsidRPr="00D16BF9" w:rsidRDefault="00660C52" w:rsidP="000D4AC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6BF9">
        <w:rPr>
          <w:rFonts w:ascii="Times New Roman" w:hAnsi="Times New Roman" w:cs="Times New Roman"/>
          <w:b/>
          <w:sz w:val="24"/>
          <w:szCs w:val="24"/>
        </w:rPr>
        <w:t>Dospjele obveze 30.06.2022.</w:t>
      </w:r>
    </w:p>
    <w:p w:rsidR="00017583" w:rsidRPr="00D16BF9" w:rsidRDefault="00A94E94" w:rsidP="000D4AC3">
      <w:pPr>
        <w:pStyle w:val="BodyText"/>
        <w:tabs>
          <w:tab w:val="left" w:pos="142"/>
          <w:tab w:val="left" w:pos="426"/>
        </w:tabs>
        <w:jc w:val="both"/>
        <w:rPr>
          <w:szCs w:val="24"/>
        </w:rPr>
      </w:pPr>
      <w:proofErr w:type="spellStart"/>
      <w:r w:rsidRPr="00D16BF9">
        <w:rPr>
          <w:szCs w:val="24"/>
        </w:rPr>
        <w:t>Najveći</w:t>
      </w:r>
      <w:proofErr w:type="spellEnd"/>
      <w:r w:rsidRPr="00D16BF9">
        <w:rPr>
          <w:szCs w:val="24"/>
        </w:rPr>
        <w:t xml:space="preserve"> </w:t>
      </w:r>
      <w:proofErr w:type="spellStart"/>
      <w:r w:rsidRPr="00D16BF9">
        <w:rPr>
          <w:szCs w:val="24"/>
        </w:rPr>
        <w:t>dio</w:t>
      </w:r>
      <w:proofErr w:type="spellEnd"/>
      <w:r w:rsidRPr="00D16BF9">
        <w:rPr>
          <w:szCs w:val="24"/>
        </w:rPr>
        <w:t xml:space="preserve"> </w:t>
      </w:r>
      <w:proofErr w:type="spellStart"/>
      <w:r w:rsidRPr="00D16BF9">
        <w:rPr>
          <w:szCs w:val="24"/>
        </w:rPr>
        <w:t>dospjelih</w:t>
      </w:r>
      <w:proofErr w:type="spellEnd"/>
      <w:r w:rsidRPr="00D16BF9">
        <w:rPr>
          <w:szCs w:val="24"/>
        </w:rPr>
        <w:t xml:space="preserve"> </w:t>
      </w:r>
      <w:proofErr w:type="spellStart"/>
      <w:r w:rsidRPr="00D16BF9">
        <w:rPr>
          <w:szCs w:val="24"/>
        </w:rPr>
        <w:t>obveza</w:t>
      </w:r>
      <w:proofErr w:type="spellEnd"/>
      <w:r w:rsidRPr="00D16BF9">
        <w:rPr>
          <w:szCs w:val="24"/>
        </w:rPr>
        <w:t xml:space="preserve"> </w:t>
      </w:r>
      <w:proofErr w:type="spellStart"/>
      <w:r w:rsidRPr="00D16BF9">
        <w:rPr>
          <w:szCs w:val="24"/>
        </w:rPr>
        <w:t>na</w:t>
      </w:r>
      <w:proofErr w:type="spellEnd"/>
      <w:r w:rsidRPr="00D16BF9">
        <w:rPr>
          <w:szCs w:val="24"/>
        </w:rPr>
        <w:t xml:space="preserve"> dan 30.06.2022. se </w:t>
      </w:r>
      <w:proofErr w:type="spellStart"/>
      <w:r w:rsidRPr="00D16BF9">
        <w:rPr>
          <w:szCs w:val="24"/>
        </w:rPr>
        <w:t>odnosi</w:t>
      </w:r>
      <w:proofErr w:type="spellEnd"/>
      <w:r w:rsidRPr="00D16BF9">
        <w:rPr>
          <w:szCs w:val="24"/>
        </w:rPr>
        <w:t xml:space="preserve"> </w:t>
      </w:r>
      <w:proofErr w:type="spellStart"/>
      <w:r w:rsidRPr="00D16BF9">
        <w:rPr>
          <w:szCs w:val="24"/>
        </w:rPr>
        <w:t>na</w:t>
      </w:r>
      <w:proofErr w:type="spellEnd"/>
      <w:r w:rsidRPr="00D16BF9">
        <w:rPr>
          <w:szCs w:val="24"/>
        </w:rPr>
        <w:t xml:space="preserve"> </w:t>
      </w:r>
      <w:proofErr w:type="spellStart"/>
      <w:r w:rsidR="00017583" w:rsidRPr="00D16BF9">
        <w:rPr>
          <w:szCs w:val="24"/>
        </w:rPr>
        <w:t>obveze</w:t>
      </w:r>
      <w:proofErr w:type="spellEnd"/>
      <w:r w:rsidR="00017583" w:rsidRPr="00D16BF9">
        <w:rPr>
          <w:szCs w:val="24"/>
        </w:rPr>
        <w:t xml:space="preserve"> </w:t>
      </w:r>
      <w:proofErr w:type="spellStart"/>
      <w:r w:rsidR="00017583" w:rsidRPr="00D16BF9">
        <w:rPr>
          <w:szCs w:val="24"/>
        </w:rPr>
        <w:t>prema</w:t>
      </w:r>
      <w:proofErr w:type="spellEnd"/>
      <w:r w:rsidR="00017583" w:rsidRPr="00D16BF9">
        <w:rPr>
          <w:szCs w:val="24"/>
        </w:rPr>
        <w:t xml:space="preserve"> </w:t>
      </w:r>
      <w:proofErr w:type="spellStart"/>
      <w:r w:rsidR="00017583" w:rsidRPr="00D16BF9">
        <w:rPr>
          <w:szCs w:val="24"/>
        </w:rPr>
        <w:t>Sveučilištu</w:t>
      </w:r>
      <w:proofErr w:type="spellEnd"/>
      <w:r w:rsidR="00017583" w:rsidRPr="00D16BF9">
        <w:rPr>
          <w:szCs w:val="24"/>
        </w:rPr>
        <w:t xml:space="preserve"> u </w:t>
      </w:r>
      <w:proofErr w:type="spellStart"/>
      <w:r w:rsidR="00017583" w:rsidRPr="00D16BF9">
        <w:rPr>
          <w:szCs w:val="24"/>
        </w:rPr>
        <w:t>Splitu</w:t>
      </w:r>
      <w:proofErr w:type="spellEnd"/>
      <w:r w:rsidR="00017583" w:rsidRPr="00D16BF9">
        <w:rPr>
          <w:szCs w:val="24"/>
        </w:rPr>
        <w:t xml:space="preserve"> u </w:t>
      </w:r>
      <w:proofErr w:type="spellStart"/>
      <w:r w:rsidR="00017583" w:rsidRPr="00D16BF9">
        <w:rPr>
          <w:szCs w:val="24"/>
        </w:rPr>
        <w:t>visini</w:t>
      </w:r>
      <w:proofErr w:type="spellEnd"/>
      <w:r w:rsidR="00017583" w:rsidRPr="00D16BF9">
        <w:rPr>
          <w:szCs w:val="24"/>
        </w:rPr>
        <w:t xml:space="preserve"> 5.909.726,22 </w:t>
      </w:r>
      <w:proofErr w:type="spellStart"/>
      <w:r w:rsidR="00017583" w:rsidRPr="00D16BF9">
        <w:rPr>
          <w:szCs w:val="24"/>
        </w:rPr>
        <w:t>kn</w:t>
      </w:r>
      <w:proofErr w:type="spellEnd"/>
      <w:r w:rsidR="00017583" w:rsidRPr="00D16BF9">
        <w:rPr>
          <w:szCs w:val="24"/>
        </w:rPr>
        <w:t xml:space="preserve"> </w:t>
      </w:r>
      <w:r w:rsidRPr="00D16BF9">
        <w:rPr>
          <w:szCs w:val="24"/>
        </w:rPr>
        <w:t>(784.355 EUR).</w:t>
      </w:r>
      <w:r w:rsidR="00017583" w:rsidRPr="00D16BF9">
        <w:rPr>
          <w:szCs w:val="24"/>
        </w:rPr>
        <w:t xml:space="preserve"> </w:t>
      </w:r>
      <w:proofErr w:type="spellStart"/>
      <w:r w:rsidR="00017583" w:rsidRPr="00D16BF9">
        <w:rPr>
          <w:szCs w:val="24"/>
        </w:rPr>
        <w:t>Iznos</w:t>
      </w:r>
      <w:proofErr w:type="spellEnd"/>
      <w:r w:rsidR="00017583" w:rsidRPr="00D16BF9">
        <w:rPr>
          <w:szCs w:val="24"/>
        </w:rPr>
        <w:t xml:space="preserve"> </w:t>
      </w:r>
      <w:proofErr w:type="spellStart"/>
      <w:r w:rsidR="00017583" w:rsidRPr="00D16BF9">
        <w:rPr>
          <w:szCs w:val="24"/>
        </w:rPr>
        <w:t>dospjelih</w:t>
      </w:r>
      <w:proofErr w:type="spellEnd"/>
      <w:r w:rsidR="00017583" w:rsidRPr="00D16BF9">
        <w:rPr>
          <w:szCs w:val="24"/>
        </w:rPr>
        <w:t xml:space="preserve"> </w:t>
      </w:r>
      <w:proofErr w:type="spellStart"/>
      <w:r w:rsidR="00017583" w:rsidRPr="00D16BF9">
        <w:rPr>
          <w:szCs w:val="24"/>
        </w:rPr>
        <w:t>obveza</w:t>
      </w:r>
      <w:proofErr w:type="spellEnd"/>
      <w:r w:rsidR="00017583" w:rsidRPr="00D16BF9">
        <w:rPr>
          <w:szCs w:val="24"/>
        </w:rPr>
        <w:t xml:space="preserve"> </w:t>
      </w:r>
      <w:proofErr w:type="spellStart"/>
      <w:r w:rsidR="00017583" w:rsidRPr="00D16BF9">
        <w:rPr>
          <w:szCs w:val="24"/>
        </w:rPr>
        <w:t>prema</w:t>
      </w:r>
      <w:proofErr w:type="spellEnd"/>
      <w:r w:rsidR="00017583" w:rsidRPr="00D16BF9">
        <w:rPr>
          <w:szCs w:val="24"/>
        </w:rPr>
        <w:t xml:space="preserve"> </w:t>
      </w:r>
      <w:proofErr w:type="spellStart"/>
      <w:r w:rsidR="00017583" w:rsidRPr="00D16BF9">
        <w:rPr>
          <w:szCs w:val="24"/>
        </w:rPr>
        <w:t>Sveučilištu</w:t>
      </w:r>
      <w:proofErr w:type="spellEnd"/>
      <w:r w:rsidR="00017583" w:rsidRPr="00D16BF9">
        <w:rPr>
          <w:szCs w:val="24"/>
        </w:rPr>
        <w:t xml:space="preserve"> u </w:t>
      </w:r>
      <w:proofErr w:type="spellStart"/>
      <w:r w:rsidR="00017583" w:rsidRPr="00D16BF9">
        <w:rPr>
          <w:szCs w:val="24"/>
        </w:rPr>
        <w:t>Splitu</w:t>
      </w:r>
      <w:proofErr w:type="spellEnd"/>
      <w:r w:rsidR="00017583" w:rsidRPr="00D16BF9">
        <w:rPr>
          <w:szCs w:val="24"/>
        </w:rPr>
        <w:t xml:space="preserve"> se </w:t>
      </w:r>
      <w:proofErr w:type="spellStart"/>
      <w:r w:rsidR="00017583" w:rsidRPr="00D16BF9">
        <w:rPr>
          <w:szCs w:val="24"/>
        </w:rPr>
        <w:t>se</w:t>
      </w:r>
      <w:proofErr w:type="spellEnd"/>
      <w:r w:rsidR="00017583" w:rsidRPr="00D16BF9">
        <w:rPr>
          <w:szCs w:val="24"/>
        </w:rPr>
        <w:t xml:space="preserve"> </w:t>
      </w:r>
      <w:proofErr w:type="spellStart"/>
      <w:r w:rsidR="00017583" w:rsidRPr="00D16BF9">
        <w:rPr>
          <w:szCs w:val="24"/>
        </w:rPr>
        <w:t>odnosi</w:t>
      </w:r>
      <w:proofErr w:type="spellEnd"/>
      <w:r w:rsidR="00017583" w:rsidRPr="00D16BF9">
        <w:rPr>
          <w:szCs w:val="24"/>
        </w:rPr>
        <w:t xml:space="preserve"> </w:t>
      </w:r>
      <w:proofErr w:type="spellStart"/>
      <w:r w:rsidR="00017583" w:rsidRPr="00D16BF9">
        <w:rPr>
          <w:szCs w:val="24"/>
        </w:rPr>
        <w:t>na</w:t>
      </w:r>
      <w:proofErr w:type="spellEnd"/>
      <w:r w:rsidR="00017583" w:rsidRPr="00D16BF9">
        <w:rPr>
          <w:szCs w:val="24"/>
        </w:rPr>
        <w:t xml:space="preserve"> </w:t>
      </w:r>
      <w:proofErr w:type="spellStart"/>
      <w:r w:rsidR="00017583" w:rsidRPr="00D16BF9">
        <w:rPr>
          <w:szCs w:val="24"/>
        </w:rPr>
        <w:t>obračunate</w:t>
      </w:r>
      <w:proofErr w:type="spellEnd"/>
      <w:r w:rsidR="00017583" w:rsidRPr="00D16BF9">
        <w:rPr>
          <w:szCs w:val="24"/>
        </w:rPr>
        <w:t xml:space="preserve"> </w:t>
      </w:r>
      <w:proofErr w:type="spellStart"/>
      <w:r w:rsidR="00017583" w:rsidRPr="00D16BF9">
        <w:rPr>
          <w:szCs w:val="24"/>
        </w:rPr>
        <w:t>obveze</w:t>
      </w:r>
      <w:proofErr w:type="spellEnd"/>
      <w:r w:rsidR="00017583" w:rsidRPr="00D16BF9">
        <w:rPr>
          <w:szCs w:val="24"/>
        </w:rPr>
        <w:t xml:space="preserve"> u </w:t>
      </w:r>
      <w:proofErr w:type="spellStart"/>
      <w:r w:rsidR="00017583" w:rsidRPr="00D16BF9">
        <w:rPr>
          <w:szCs w:val="24"/>
        </w:rPr>
        <w:t>visini</w:t>
      </w:r>
      <w:proofErr w:type="spellEnd"/>
      <w:r w:rsidR="00017583" w:rsidRPr="00D16BF9">
        <w:rPr>
          <w:szCs w:val="24"/>
        </w:rPr>
        <w:t xml:space="preserve"> 15% </w:t>
      </w:r>
      <w:proofErr w:type="spellStart"/>
      <w:r w:rsidR="00017583" w:rsidRPr="00D16BF9">
        <w:rPr>
          <w:szCs w:val="24"/>
        </w:rPr>
        <w:t>od</w:t>
      </w:r>
      <w:proofErr w:type="spellEnd"/>
      <w:r w:rsidR="00017583" w:rsidRPr="00D16BF9">
        <w:rPr>
          <w:szCs w:val="24"/>
        </w:rPr>
        <w:t xml:space="preserve"> </w:t>
      </w:r>
      <w:proofErr w:type="spellStart"/>
      <w:r w:rsidR="00017583" w:rsidRPr="00D16BF9">
        <w:rPr>
          <w:szCs w:val="24"/>
        </w:rPr>
        <w:t>školarina</w:t>
      </w:r>
      <w:proofErr w:type="spellEnd"/>
      <w:r w:rsidR="00017583" w:rsidRPr="00D16BF9">
        <w:rPr>
          <w:szCs w:val="24"/>
        </w:rPr>
        <w:t xml:space="preserve"> </w:t>
      </w:r>
      <w:proofErr w:type="spellStart"/>
      <w:r w:rsidR="00017583" w:rsidRPr="00D16BF9">
        <w:rPr>
          <w:szCs w:val="24"/>
        </w:rPr>
        <w:t>studija</w:t>
      </w:r>
      <w:proofErr w:type="spellEnd"/>
      <w:r w:rsidR="00017583" w:rsidRPr="00D16BF9">
        <w:rPr>
          <w:szCs w:val="24"/>
        </w:rPr>
        <w:t xml:space="preserve"> </w:t>
      </w:r>
      <w:proofErr w:type="spellStart"/>
      <w:r w:rsidR="00017583" w:rsidRPr="00D16BF9">
        <w:rPr>
          <w:szCs w:val="24"/>
        </w:rPr>
        <w:t>Medicina</w:t>
      </w:r>
      <w:proofErr w:type="spellEnd"/>
      <w:r w:rsidR="00017583" w:rsidRPr="00D16BF9">
        <w:rPr>
          <w:szCs w:val="24"/>
        </w:rPr>
        <w:t xml:space="preserve"> </w:t>
      </w:r>
      <w:proofErr w:type="spellStart"/>
      <w:r w:rsidR="00017583" w:rsidRPr="00D16BF9">
        <w:rPr>
          <w:szCs w:val="24"/>
        </w:rPr>
        <w:t>na</w:t>
      </w:r>
      <w:proofErr w:type="spellEnd"/>
      <w:r w:rsidR="00017583" w:rsidRPr="00D16BF9">
        <w:rPr>
          <w:szCs w:val="24"/>
        </w:rPr>
        <w:t xml:space="preserve"> </w:t>
      </w:r>
      <w:proofErr w:type="spellStart"/>
      <w:r w:rsidR="00017583" w:rsidRPr="00D16BF9">
        <w:rPr>
          <w:szCs w:val="24"/>
        </w:rPr>
        <w:t>engleskom</w:t>
      </w:r>
      <w:proofErr w:type="spellEnd"/>
      <w:r w:rsidR="00017583" w:rsidRPr="00D16BF9">
        <w:rPr>
          <w:szCs w:val="24"/>
        </w:rPr>
        <w:t xml:space="preserve"> </w:t>
      </w:r>
      <w:proofErr w:type="spellStart"/>
      <w:r w:rsidR="00017583" w:rsidRPr="00D16BF9">
        <w:rPr>
          <w:szCs w:val="24"/>
        </w:rPr>
        <w:t>jeziku</w:t>
      </w:r>
      <w:proofErr w:type="spellEnd"/>
      <w:r w:rsidR="00017583" w:rsidRPr="00D16BF9">
        <w:rPr>
          <w:szCs w:val="24"/>
        </w:rPr>
        <w:t xml:space="preserve"> za </w:t>
      </w:r>
      <w:proofErr w:type="spellStart"/>
      <w:r w:rsidR="00017583" w:rsidRPr="00D16BF9">
        <w:rPr>
          <w:szCs w:val="24"/>
        </w:rPr>
        <w:t>ak</w:t>
      </w:r>
      <w:proofErr w:type="spellEnd"/>
      <w:r w:rsidR="00017583" w:rsidRPr="00D16BF9">
        <w:rPr>
          <w:szCs w:val="24"/>
        </w:rPr>
        <w:t xml:space="preserve">. </w:t>
      </w:r>
      <w:proofErr w:type="spellStart"/>
      <w:r w:rsidR="00017583" w:rsidRPr="00D16BF9">
        <w:rPr>
          <w:szCs w:val="24"/>
        </w:rPr>
        <w:t>godinu</w:t>
      </w:r>
      <w:proofErr w:type="spellEnd"/>
      <w:r w:rsidR="00017583" w:rsidRPr="00D16BF9">
        <w:rPr>
          <w:szCs w:val="24"/>
        </w:rPr>
        <w:t xml:space="preserve"> 2020/2021 (</w:t>
      </w:r>
      <w:proofErr w:type="spellStart"/>
      <w:r w:rsidR="00017583" w:rsidRPr="00D16BF9">
        <w:rPr>
          <w:szCs w:val="24"/>
        </w:rPr>
        <w:t>dio</w:t>
      </w:r>
      <w:proofErr w:type="spellEnd"/>
      <w:r w:rsidR="00017583" w:rsidRPr="00D16BF9">
        <w:rPr>
          <w:szCs w:val="24"/>
        </w:rPr>
        <w:t xml:space="preserve">) </w:t>
      </w:r>
      <w:proofErr w:type="spellStart"/>
      <w:r w:rsidR="00017583" w:rsidRPr="00D16BF9">
        <w:rPr>
          <w:szCs w:val="24"/>
        </w:rPr>
        <w:t>te</w:t>
      </w:r>
      <w:proofErr w:type="spellEnd"/>
      <w:r w:rsidR="00017583" w:rsidRPr="00D16BF9">
        <w:rPr>
          <w:szCs w:val="24"/>
        </w:rPr>
        <w:t xml:space="preserve"> za </w:t>
      </w:r>
      <w:proofErr w:type="spellStart"/>
      <w:r w:rsidR="00017583" w:rsidRPr="00D16BF9">
        <w:rPr>
          <w:szCs w:val="24"/>
        </w:rPr>
        <w:t>ak</w:t>
      </w:r>
      <w:proofErr w:type="spellEnd"/>
      <w:r w:rsidR="00017583" w:rsidRPr="00D16BF9">
        <w:rPr>
          <w:szCs w:val="24"/>
        </w:rPr>
        <w:t xml:space="preserve">. </w:t>
      </w:r>
      <w:proofErr w:type="spellStart"/>
      <w:r w:rsidR="00017583" w:rsidRPr="00D16BF9">
        <w:rPr>
          <w:szCs w:val="24"/>
        </w:rPr>
        <w:t>godinu</w:t>
      </w:r>
      <w:proofErr w:type="spellEnd"/>
      <w:r w:rsidR="00017583" w:rsidRPr="00D16BF9">
        <w:rPr>
          <w:szCs w:val="24"/>
        </w:rPr>
        <w:t xml:space="preserve"> 2021/2022. S </w:t>
      </w:r>
      <w:proofErr w:type="spellStart"/>
      <w:r w:rsidR="00017583" w:rsidRPr="00D16BF9">
        <w:rPr>
          <w:szCs w:val="24"/>
        </w:rPr>
        <w:t>obzirom</w:t>
      </w:r>
      <w:proofErr w:type="spellEnd"/>
      <w:r w:rsidR="00017583" w:rsidRPr="00D16BF9">
        <w:rPr>
          <w:szCs w:val="24"/>
        </w:rPr>
        <w:t xml:space="preserve"> da se </w:t>
      </w:r>
      <w:proofErr w:type="spellStart"/>
      <w:r w:rsidR="00017583" w:rsidRPr="00D16BF9">
        <w:rPr>
          <w:szCs w:val="24"/>
        </w:rPr>
        <w:t>radi</w:t>
      </w:r>
      <w:proofErr w:type="spellEnd"/>
      <w:r w:rsidR="00017583" w:rsidRPr="00D16BF9">
        <w:rPr>
          <w:szCs w:val="24"/>
        </w:rPr>
        <w:t xml:space="preserve"> o </w:t>
      </w:r>
      <w:proofErr w:type="spellStart"/>
      <w:r w:rsidR="00017583" w:rsidRPr="00D16BF9">
        <w:rPr>
          <w:szCs w:val="24"/>
        </w:rPr>
        <w:t>visokim</w:t>
      </w:r>
      <w:proofErr w:type="spellEnd"/>
      <w:r w:rsidR="00017583" w:rsidRPr="00D16BF9">
        <w:rPr>
          <w:szCs w:val="24"/>
        </w:rPr>
        <w:t xml:space="preserve"> </w:t>
      </w:r>
      <w:proofErr w:type="spellStart"/>
      <w:r w:rsidR="00017583" w:rsidRPr="00D16BF9">
        <w:rPr>
          <w:szCs w:val="24"/>
        </w:rPr>
        <w:t>iznosima</w:t>
      </w:r>
      <w:proofErr w:type="spellEnd"/>
      <w:r w:rsidR="00017583" w:rsidRPr="00D16BF9">
        <w:rPr>
          <w:szCs w:val="24"/>
        </w:rPr>
        <w:t xml:space="preserve"> </w:t>
      </w:r>
      <w:proofErr w:type="spellStart"/>
      <w:r w:rsidR="00017583" w:rsidRPr="00D16BF9">
        <w:rPr>
          <w:szCs w:val="24"/>
        </w:rPr>
        <w:t>koje</w:t>
      </w:r>
      <w:proofErr w:type="spellEnd"/>
      <w:r w:rsidR="00017583" w:rsidRPr="00D16BF9">
        <w:rPr>
          <w:szCs w:val="24"/>
        </w:rPr>
        <w:t xml:space="preserve"> </w:t>
      </w:r>
      <w:proofErr w:type="spellStart"/>
      <w:r w:rsidR="00017583" w:rsidRPr="00D16BF9">
        <w:rPr>
          <w:szCs w:val="24"/>
        </w:rPr>
        <w:t>značajno</w:t>
      </w:r>
      <w:proofErr w:type="spellEnd"/>
      <w:r w:rsidR="00017583" w:rsidRPr="00D16BF9">
        <w:rPr>
          <w:szCs w:val="24"/>
        </w:rPr>
        <w:t xml:space="preserve"> </w:t>
      </w:r>
      <w:proofErr w:type="spellStart"/>
      <w:r w:rsidR="00017583" w:rsidRPr="00D16BF9">
        <w:rPr>
          <w:szCs w:val="24"/>
        </w:rPr>
        <w:t>utječu</w:t>
      </w:r>
      <w:proofErr w:type="spellEnd"/>
      <w:r w:rsidR="00017583" w:rsidRPr="00D16BF9">
        <w:rPr>
          <w:szCs w:val="24"/>
        </w:rPr>
        <w:t xml:space="preserve"> </w:t>
      </w:r>
      <w:proofErr w:type="spellStart"/>
      <w:r w:rsidR="00017583" w:rsidRPr="00D16BF9">
        <w:rPr>
          <w:szCs w:val="24"/>
        </w:rPr>
        <w:t>na</w:t>
      </w:r>
      <w:proofErr w:type="spellEnd"/>
      <w:r w:rsidR="00017583" w:rsidRPr="00D16BF9">
        <w:rPr>
          <w:szCs w:val="24"/>
        </w:rPr>
        <w:t xml:space="preserve"> </w:t>
      </w:r>
      <w:proofErr w:type="spellStart"/>
      <w:r w:rsidR="00017583" w:rsidRPr="00D16BF9">
        <w:rPr>
          <w:szCs w:val="24"/>
        </w:rPr>
        <w:t>likvidnost</w:t>
      </w:r>
      <w:proofErr w:type="spellEnd"/>
      <w:r w:rsidR="00017583" w:rsidRPr="00D16BF9">
        <w:rPr>
          <w:szCs w:val="24"/>
        </w:rPr>
        <w:t xml:space="preserve"> </w:t>
      </w:r>
      <w:proofErr w:type="spellStart"/>
      <w:r w:rsidR="00017583" w:rsidRPr="00D16BF9">
        <w:rPr>
          <w:szCs w:val="24"/>
        </w:rPr>
        <w:t>Fakulteta</w:t>
      </w:r>
      <w:proofErr w:type="spellEnd"/>
      <w:r w:rsidR="00017583" w:rsidRPr="00D16BF9">
        <w:rPr>
          <w:szCs w:val="24"/>
        </w:rPr>
        <w:t xml:space="preserve">, </w:t>
      </w:r>
      <w:proofErr w:type="spellStart"/>
      <w:r w:rsidR="00017583" w:rsidRPr="00D16BF9">
        <w:rPr>
          <w:szCs w:val="24"/>
        </w:rPr>
        <w:t>sa</w:t>
      </w:r>
      <w:proofErr w:type="spellEnd"/>
      <w:r w:rsidR="00017583" w:rsidRPr="00D16BF9">
        <w:rPr>
          <w:szCs w:val="24"/>
        </w:rPr>
        <w:t xml:space="preserve"> </w:t>
      </w:r>
      <w:proofErr w:type="spellStart"/>
      <w:r w:rsidR="00017583" w:rsidRPr="00D16BF9">
        <w:rPr>
          <w:szCs w:val="24"/>
        </w:rPr>
        <w:t>Sveučilištem</w:t>
      </w:r>
      <w:proofErr w:type="spellEnd"/>
      <w:r w:rsidR="00017583" w:rsidRPr="00D16BF9">
        <w:rPr>
          <w:szCs w:val="24"/>
        </w:rPr>
        <w:t xml:space="preserve"> je </w:t>
      </w:r>
      <w:proofErr w:type="spellStart"/>
      <w:r w:rsidR="00017583" w:rsidRPr="00D16BF9">
        <w:rPr>
          <w:szCs w:val="24"/>
        </w:rPr>
        <w:t>dogovoreno</w:t>
      </w:r>
      <w:proofErr w:type="spellEnd"/>
      <w:r w:rsidR="00017583" w:rsidRPr="00D16BF9">
        <w:rPr>
          <w:szCs w:val="24"/>
        </w:rPr>
        <w:t xml:space="preserve"> da </w:t>
      </w:r>
      <w:proofErr w:type="spellStart"/>
      <w:r w:rsidR="00017583" w:rsidRPr="00D16BF9">
        <w:rPr>
          <w:szCs w:val="24"/>
        </w:rPr>
        <w:t>će</w:t>
      </w:r>
      <w:proofErr w:type="spellEnd"/>
      <w:r w:rsidR="00017583" w:rsidRPr="00D16BF9">
        <w:rPr>
          <w:szCs w:val="24"/>
        </w:rPr>
        <w:t xml:space="preserve"> se </w:t>
      </w:r>
      <w:proofErr w:type="spellStart"/>
      <w:r w:rsidR="00017583" w:rsidRPr="00D16BF9">
        <w:rPr>
          <w:szCs w:val="24"/>
        </w:rPr>
        <w:t>postojeća</w:t>
      </w:r>
      <w:proofErr w:type="spellEnd"/>
      <w:r w:rsidR="00017583" w:rsidRPr="00D16BF9">
        <w:rPr>
          <w:szCs w:val="24"/>
        </w:rPr>
        <w:t xml:space="preserve"> </w:t>
      </w:r>
      <w:proofErr w:type="spellStart"/>
      <w:r w:rsidR="00017583" w:rsidRPr="00D16BF9">
        <w:rPr>
          <w:szCs w:val="24"/>
        </w:rPr>
        <w:t>obveza</w:t>
      </w:r>
      <w:proofErr w:type="spellEnd"/>
      <w:r w:rsidR="00017583" w:rsidRPr="00D16BF9">
        <w:rPr>
          <w:szCs w:val="24"/>
        </w:rPr>
        <w:t xml:space="preserve"> </w:t>
      </w:r>
      <w:proofErr w:type="spellStart"/>
      <w:r w:rsidR="00017583" w:rsidRPr="00D16BF9">
        <w:rPr>
          <w:szCs w:val="24"/>
        </w:rPr>
        <w:t>plaćati</w:t>
      </w:r>
      <w:proofErr w:type="spellEnd"/>
      <w:r w:rsidR="00017583" w:rsidRPr="00D16BF9">
        <w:rPr>
          <w:szCs w:val="24"/>
        </w:rPr>
        <w:t xml:space="preserve"> u </w:t>
      </w:r>
      <w:proofErr w:type="spellStart"/>
      <w:r w:rsidR="00017583" w:rsidRPr="00D16BF9">
        <w:rPr>
          <w:szCs w:val="24"/>
        </w:rPr>
        <w:t>tranšama</w:t>
      </w:r>
      <w:proofErr w:type="spellEnd"/>
      <w:r w:rsidR="00017583" w:rsidRPr="00D16BF9">
        <w:rPr>
          <w:szCs w:val="24"/>
        </w:rPr>
        <w:t xml:space="preserve"> </w:t>
      </w:r>
      <w:proofErr w:type="spellStart"/>
      <w:r w:rsidR="00017583" w:rsidRPr="00D16BF9">
        <w:rPr>
          <w:szCs w:val="24"/>
        </w:rPr>
        <w:t>prema</w:t>
      </w:r>
      <w:proofErr w:type="spellEnd"/>
      <w:r w:rsidR="00017583" w:rsidRPr="00D16BF9">
        <w:rPr>
          <w:szCs w:val="24"/>
        </w:rPr>
        <w:t xml:space="preserve"> </w:t>
      </w:r>
      <w:proofErr w:type="spellStart"/>
      <w:r w:rsidR="00017583" w:rsidRPr="00D16BF9">
        <w:rPr>
          <w:szCs w:val="24"/>
        </w:rPr>
        <w:t>financijskim</w:t>
      </w:r>
      <w:proofErr w:type="spellEnd"/>
      <w:r w:rsidR="00017583" w:rsidRPr="00D16BF9">
        <w:rPr>
          <w:szCs w:val="24"/>
        </w:rPr>
        <w:t xml:space="preserve"> </w:t>
      </w:r>
      <w:proofErr w:type="spellStart"/>
      <w:r w:rsidR="00017583" w:rsidRPr="00D16BF9">
        <w:rPr>
          <w:szCs w:val="24"/>
        </w:rPr>
        <w:t>mogućnostima</w:t>
      </w:r>
      <w:proofErr w:type="spellEnd"/>
      <w:r w:rsidR="00017583" w:rsidRPr="00D16BF9">
        <w:rPr>
          <w:szCs w:val="24"/>
        </w:rPr>
        <w:t xml:space="preserve"> </w:t>
      </w:r>
      <w:proofErr w:type="spellStart"/>
      <w:r w:rsidR="00017583" w:rsidRPr="00D16BF9">
        <w:rPr>
          <w:szCs w:val="24"/>
        </w:rPr>
        <w:t>Fakulteta</w:t>
      </w:r>
      <w:proofErr w:type="spellEnd"/>
      <w:r w:rsidR="00017583" w:rsidRPr="00D16BF9">
        <w:rPr>
          <w:szCs w:val="24"/>
        </w:rPr>
        <w:t>.</w:t>
      </w:r>
    </w:p>
    <w:p w:rsidR="00F35176" w:rsidRDefault="00F35176" w:rsidP="000D4AC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5176" w:rsidRDefault="00F35176" w:rsidP="00F35176">
      <w:pPr>
        <w:ind w:left="38" w:right="192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</w:rPr>
        <w:t xml:space="preserve">                                                                                </w:t>
      </w:r>
      <w:r w:rsidRPr="00F35176">
        <w:rPr>
          <w:rFonts w:ascii="Times New Roman" w:hAnsi="Times New Roman" w:cs="Times New Roman"/>
          <w:noProof/>
          <w:sz w:val="24"/>
          <w:szCs w:val="24"/>
        </w:rPr>
        <w:t>DEKAN:</w:t>
      </w:r>
    </w:p>
    <w:p w:rsidR="00F8704C" w:rsidRDefault="00F8704C" w:rsidP="00F35176">
      <w:pPr>
        <w:ind w:left="38" w:right="192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F8704C" w:rsidRPr="00F35176" w:rsidRDefault="00F8704C" w:rsidP="00F35176">
      <w:pPr>
        <w:ind w:left="38" w:right="192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F35176" w:rsidRPr="00D16BF9" w:rsidRDefault="00F35176" w:rsidP="002C1390">
      <w:pPr>
        <w:ind w:left="38" w:right="19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176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              Prof. dr. sc. Ante Tonkić</w:t>
      </w:r>
      <w:bookmarkStart w:id="1" w:name="_GoBack"/>
      <w:bookmarkEnd w:id="1"/>
    </w:p>
    <w:sectPr w:rsidR="00F35176" w:rsidRPr="00D16B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F1CE4"/>
    <w:multiLevelType w:val="hybridMultilevel"/>
    <w:tmpl w:val="47FE6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141F37"/>
    <w:multiLevelType w:val="hybridMultilevel"/>
    <w:tmpl w:val="C950B578"/>
    <w:lvl w:ilvl="0" w:tplc="09427E60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528C799E"/>
    <w:multiLevelType w:val="hybridMultilevel"/>
    <w:tmpl w:val="58B8FACC"/>
    <w:lvl w:ilvl="0" w:tplc="286E5A26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8B07BE8"/>
    <w:multiLevelType w:val="hybridMultilevel"/>
    <w:tmpl w:val="3D7C29B2"/>
    <w:lvl w:ilvl="0" w:tplc="15A607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175075"/>
    <w:multiLevelType w:val="hybridMultilevel"/>
    <w:tmpl w:val="9866F0FE"/>
    <w:lvl w:ilvl="0" w:tplc="06C64F0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2CF4AE">
      <w:start w:val="2"/>
      <w:numFmt w:val="decimal"/>
      <w:lvlText w:val="%2."/>
      <w:lvlJc w:val="left"/>
      <w:pPr>
        <w:ind w:left="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0E8C0C">
      <w:start w:val="1"/>
      <w:numFmt w:val="lowerRoman"/>
      <w:lvlText w:val="%3"/>
      <w:lvlJc w:val="left"/>
      <w:pPr>
        <w:ind w:left="1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DCE162">
      <w:start w:val="1"/>
      <w:numFmt w:val="decimal"/>
      <w:lvlText w:val="%4"/>
      <w:lvlJc w:val="left"/>
      <w:pPr>
        <w:ind w:left="2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9ACDA0">
      <w:start w:val="1"/>
      <w:numFmt w:val="lowerLetter"/>
      <w:lvlText w:val="%5"/>
      <w:lvlJc w:val="left"/>
      <w:pPr>
        <w:ind w:left="2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8E6DA6">
      <w:start w:val="1"/>
      <w:numFmt w:val="lowerRoman"/>
      <w:lvlText w:val="%6"/>
      <w:lvlJc w:val="left"/>
      <w:pPr>
        <w:ind w:left="3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AE512C">
      <w:start w:val="1"/>
      <w:numFmt w:val="decimal"/>
      <w:lvlText w:val="%7"/>
      <w:lvlJc w:val="left"/>
      <w:pPr>
        <w:ind w:left="4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D41404">
      <w:start w:val="1"/>
      <w:numFmt w:val="lowerLetter"/>
      <w:lvlText w:val="%8"/>
      <w:lvlJc w:val="left"/>
      <w:pPr>
        <w:ind w:left="5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925E5E">
      <w:start w:val="1"/>
      <w:numFmt w:val="lowerRoman"/>
      <w:lvlText w:val="%9"/>
      <w:lvlJc w:val="left"/>
      <w:pPr>
        <w:ind w:left="5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A1C"/>
    <w:rsid w:val="0000408D"/>
    <w:rsid w:val="00005FAA"/>
    <w:rsid w:val="00017583"/>
    <w:rsid w:val="00025F54"/>
    <w:rsid w:val="00030383"/>
    <w:rsid w:val="00034226"/>
    <w:rsid w:val="0003464E"/>
    <w:rsid w:val="000358B1"/>
    <w:rsid w:val="000465B7"/>
    <w:rsid w:val="00061A4D"/>
    <w:rsid w:val="000A1A2E"/>
    <w:rsid w:val="000B134B"/>
    <w:rsid w:val="000D0A1C"/>
    <w:rsid w:val="000D20C9"/>
    <w:rsid w:val="000D4AC3"/>
    <w:rsid w:val="001102F9"/>
    <w:rsid w:val="00143083"/>
    <w:rsid w:val="00144A2B"/>
    <w:rsid w:val="0016712B"/>
    <w:rsid w:val="001759AB"/>
    <w:rsid w:val="00186B7B"/>
    <w:rsid w:val="001C2688"/>
    <w:rsid w:val="001E332A"/>
    <w:rsid w:val="001F3085"/>
    <w:rsid w:val="0020237C"/>
    <w:rsid w:val="002052E4"/>
    <w:rsid w:val="0020638B"/>
    <w:rsid w:val="00245B1D"/>
    <w:rsid w:val="0029735D"/>
    <w:rsid w:val="00297F7A"/>
    <w:rsid w:val="002B2C1E"/>
    <w:rsid w:val="002B6A5F"/>
    <w:rsid w:val="002C1390"/>
    <w:rsid w:val="002C75E1"/>
    <w:rsid w:val="002D4BD7"/>
    <w:rsid w:val="002F01FA"/>
    <w:rsid w:val="00310E1F"/>
    <w:rsid w:val="003268E9"/>
    <w:rsid w:val="00340357"/>
    <w:rsid w:val="00395EE2"/>
    <w:rsid w:val="003A22DB"/>
    <w:rsid w:val="003A476B"/>
    <w:rsid w:val="003F3E21"/>
    <w:rsid w:val="00407290"/>
    <w:rsid w:val="00420463"/>
    <w:rsid w:val="00466878"/>
    <w:rsid w:val="00477211"/>
    <w:rsid w:val="00484DC2"/>
    <w:rsid w:val="004A0ED1"/>
    <w:rsid w:val="004A7709"/>
    <w:rsid w:val="004F670F"/>
    <w:rsid w:val="004F78E8"/>
    <w:rsid w:val="00506AF8"/>
    <w:rsid w:val="005166A7"/>
    <w:rsid w:val="005610C1"/>
    <w:rsid w:val="0056668E"/>
    <w:rsid w:val="005722A3"/>
    <w:rsid w:val="00580A91"/>
    <w:rsid w:val="005B26B0"/>
    <w:rsid w:val="005C1418"/>
    <w:rsid w:val="00600C7F"/>
    <w:rsid w:val="00600F3A"/>
    <w:rsid w:val="00601981"/>
    <w:rsid w:val="00605080"/>
    <w:rsid w:val="0061016D"/>
    <w:rsid w:val="00624C16"/>
    <w:rsid w:val="00630C67"/>
    <w:rsid w:val="006423E7"/>
    <w:rsid w:val="00643CDA"/>
    <w:rsid w:val="00660C52"/>
    <w:rsid w:val="00662506"/>
    <w:rsid w:val="00691A0F"/>
    <w:rsid w:val="0069577C"/>
    <w:rsid w:val="006C6845"/>
    <w:rsid w:val="006F1F9B"/>
    <w:rsid w:val="00715B13"/>
    <w:rsid w:val="0072334A"/>
    <w:rsid w:val="007258A1"/>
    <w:rsid w:val="00740029"/>
    <w:rsid w:val="00742DD7"/>
    <w:rsid w:val="00757F9F"/>
    <w:rsid w:val="007A07B1"/>
    <w:rsid w:val="007C2F59"/>
    <w:rsid w:val="007E77E0"/>
    <w:rsid w:val="007F0C19"/>
    <w:rsid w:val="0081432C"/>
    <w:rsid w:val="008436FE"/>
    <w:rsid w:val="008524C5"/>
    <w:rsid w:val="00852812"/>
    <w:rsid w:val="00875587"/>
    <w:rsid w:val="00886D68"/>
    <w:rsid w:val="008D685C"/>
    <w:rsid w:val="008F2499"/>
    <w:rsid w:val="009256FD"/>
    <w:rsid w:val="00933901"/>
    <w:rsid w:val="0094274B"/>
    <w:rsid w:val="009541D4"/>
    <w:rsid w:val="00955BA8"/>
    <w:rsid w:val="009576D6"/>
    <w:rsid w:val="00975BA7"/>
    <w:rsid w:val="009D7CA0"/>
    <w:rsid w:val="009E0296"/>
    <w:rsid w:val="009F002F"/>
    <w:rsid w:val="00A27FC7"/>
    <w:rsid w:val="00A84B63"/>
    <w:rsid w:val="00A8762C"/>
    <w:rsid w:val="00A925E1"/>
    <w:rsid w:val="00A94E94"/>
    <w:rsid w:val="00AB00F0"/>
    <w:rsid w:val="00AC288F"/>
    <w:rsid w:val="00AC3E27"/>
    <w:rsid w:val="00AD1A68"/>
    <w:rsid w:val="00AE2812"/>
    <w:rsid w:val="00AE6400"/>
    <w:rsid w:val="00AE69C1"/>
    <w:rsid w:val="00AF4B88"/>
    <w:rsid w:val="00B25C63"/>
    <w:rsid w:val="00B326AF"/>
    <w:rsid w:val="00B633FC"/>
    <w:rsid w:val="00B7793B"/>
    <w:rsid w:val="00B823A7"/>
    <w:rsid w:val="00BC2554"/>
    <w:rsid w:val="00BD6DFD"/>
    <w:rsid w:val="00BE3467"/>
    <w:rsid w:val="00BF44C6"/>
    <w:rsid w:val="00C12D8A"/>
    <w:rsid w:val="00C1476B"/>
    <w:rsid w:val="00C26489"/>
    <w:rsid w:val="00C352C1"/>
    <w:rsid w:val="00C83493"/>
    <w:rsid w:val="00C94FAE"/>
    <w:rsid w:val="00CA12E2"/>
    <w:rsid w:val="00CB596E"/>
    <w:rsid w:val="00CC0C1E"/>
    <w:rsid w:val="00CD1810"/>
    <w:rsid w:val="00D00A5D"/>
    <w:rsid w:val="00D019AB"/>
    <w:rsid w:val="00D16BF9"/>
    <w:rsid w:val="00D350E8"/>
    <w:rsid w:val="00D545E6"/>
    <w:rsid w:val="00D57ED6"/>
    <w:rsid w:val="00D673BA"/>
    <w:rsid w:val="00D81CC3"/>
    <w:rsid w:val="00D87A52"/>
    <w:rsid w:val="00DA4CF1"/>
    <w:rsid w:val="00DB632E"/>
    <w:rsid w:val="00DC5BFB"/>
    <w:rsid w:val="00DD2586"/>
    <w:rsid w:val="00DF686D"/>
    <w:rsid w:val="00DF778D"/>
    <w:rsid w:val="00DF7C95"/>
    <w:rsid w:val="00E02259"/>
    <w:rsid w:val="00E34EA9"/>
    <w:rsid w:val="00E4562C"/>
    <w:rsid w:val="00E74D93"/>
    <w:rsid w:val="00E76387"/>
    <w:rsid w:val="00E95803"/>
    <w:rsid w:val="00E9714D"/>
    <w:rsid w:val="00EB5DBF"/>
    <w:rsid w:val="00F14325"/>
    <w:rsid w:val="00F16271"/>
    <w:rsid w:val="00F35176"/>
    <w:rsid w:val="00F44C4D"/>
    <w:rsid w:val="00F471E7"/>
    <w:rsid w:val="00F51905"/>
    <w:rsid w:val="00F5598E"/>
    <w:rsid w:val="00F70550"/>
    <w:rsid w:val="00F7685D"/>
    <w:rsid w:val="00F8704C"/>
    <w:rsid w:val="00FA1606"/>
    <w:rsid w:val="00FA5395"/>
    <w:rsid w:val="00FD1B43"/>
    <w:rsid w:val="00FD5AEE"/>
    <w:rsid w:val="00FE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1B254"/>
  <w15:chartTrackingRefBased/>
  <w15:docId w15:val="{1E9B1B47-3560-4932-BAAB-B450A5EED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7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9339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33901"/>
    <w:rPr>
      <w:rFonts w:ascii="Courier New" w:eastAsia="Times New Roman" w:hAnsi="Courier New" w:cs="Courier New"/>
      <w:sz w:val="20"/>
      <w:szCs w:val="20"/>
      <w:lang w:val="en-GB" w:eastAsia="en-GB"/>
    </w:rPr>
  </w:style>
  <w:style w:type="paragraph" w:styleId="ListParagraph">
    <w:name w:val="List Paragraph"/>
    <w:basedOn w:val="Normal"/>
    <w:uiPriority w:val="34"/>
    <w:qFormat/>
    <w:rsid w:val="00933901"/>
    <w:pPr>
      <w:spacing w:after="0"/>
      <w:ind w:left="720"/>
      <w:contextualSpacing/>
    </w:pPr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rsid w:val="000175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017583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1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1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AE7C4-DECE-496E-87E9-26B018076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9</Pages>
  <Words>3228</Words>
  <Characters>18402</Characters>
  <Application>Microsoft Office Word</Application>
  <DocSecurity>0</DocSecurity>
  <Lines>153</Lines>
  <Paragraphs>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Brozić Puček</dc:creator>
  <cp:keywords/>
  <dc:description/>
  <cp:lastModifiedBy>Nada Popović Jakus</cp:lastModifiedBy>
  <cp:revision>8</cp:revision>
  <cp:lastPrinted>2023-08-01T14:43:00Z</cp:lastPrinted>
  <dcterms:created xsi:type="dcterms:W3CDTF">2023-08-01T14:36:00Z</dcterms:created>
  <dcterms:modified xsi:type="dcterms:W3CDTF">2023-08-02T13:46:00Z</dcterms:modified>
</cp:coreProperties>
</file>